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4F8" w:rsidRPr="00E5262B" w:rsidRDefault="007B44F8" w:rsidP="007B44F8">
      <w:pPr>
        <w:pStyle w:val="Heading2"/>
        <w:numPr>
          <w:ilvl w:val="0"/>
          <w:numId w:val="0"/>
        </w:numPr>
        <w:spacing w:after="0"/>
        <w:ind w:left="576" w:hanging="576"/>
        <w:jc w:val="both"/>
        <w:rPr>
          <w:rFonts w:ascii="Arial Black" w:hAnsi="Arial Black"/>
        </w:rPr>
      </w:pPr>
      <w:r w:rsidRPr="00E5262B">
        <w:rPr>
          <w:rFonts w:ascii="Arial Black" w:hAnsi="Arial Black"/>
        </w:rPr>
        <w:t>Definitions</w:t>
      </w:r>
      <w:bookmarkStart w:id="0" w:name="_GoBack"/>
      <w:bookmarkEnd w:id="0"/>
    </w:p>
    <w:p w:rsidR="007B44F8" w:rsidRDefault="007B44F8" w:rsidP="007B44F8">
      <w:pPr>
        <w:spacing w:after="0"/>
      </w:pPr>
    </w:p>
    <w:p w:rsidR="007B44F8" w:rsidRPr="001838E1" w:rsidRDefault="007B44F8" w:rsidP="007B44F8">
      <w:pPr>
        <w:spacing w:after="0"/>
        <w:rPr>
          <w:rFonts w:ascii="Times New Roman" w:hAnsi="Times New Roman" w:cs="Times New Roman"/>
          <w:sz w:val="24"/>
          <w:szCs w:val="24"/>
        </w:rPr>
      </w:pPr>
      <w:r w:rsidRPr="001838E1">
        <w:rPr>
          <w:rFonts w:ascii="Times New Roman" w:hAnsi="Times New Roman" w:cs="Times New Roman"/>
          <w:b/>
          <w:bCs/>
          <w:sz w:val="24"/>
          <w:szCs w:val="24"/>
        </w:rPr>
        <w:t>Site</w:t>
      </w:r>
      <w:r w:rsidRPr="001838E1">
        <w:rPr>
          <w:rFonts w:ascii="Times New Roman" w:hAnsi="Times New Roman" w:cs="Times New Roman"/>
          <w:sz w:val="24"/>
          <w:szCs w:val="24"/>
        </w:rPr>
        <w:t xml:space="preserve"> – defined as the area of extent of construction activities, including but not limited to the creation of new impervious cover and improvement of existing impervious cover. </w:t>
      </w:r>
    </w:p>
    <w:p w:rsidR="007B44F8" w:rsidRPr="001838E1" w:rsidRDefault="007B44F8" w:rsidP="007B44F8">
      <w:pPr>
        <w:spacing w:after="0"/>
        <w:rPr>
          <w:rFonts w:ascii="Times New Roman" w:hAnsi="Times New Roman" w:cs="Times New Roman"/>
          <w:sz w:val="24"/>
          <w:szCs w:val="24"/>
        </w:rPr>
      </w:pPr>
      <w:r w:rsidRPr="001838E1">
        <w:rPr>
          <w:rFonts w:ascii="Times New Roman" w:hAnsi="Times New Roman" w:cs="Times New Roman"/>
          <w:b/>
          <w:bCs/>
          <w:sz w:val="24"/>
          <w:szCs w:val="24"/>
        </w:rPr>
        <w:t>New Development</w:t>
      </w:r>
      <w:r w:rsidRPr="001838E1">
        <w:rPr>
          <w:rFonts w:ascii="Times New Roman" w:hAnsi="Times New Roman" w:cs="Times New Roman"/>
          <w:sz w:val="24"/>
          <w:szCs w:val="24"/>
        </w:rPr>
        <w:t xml:space="preserve"> – Defined as any construction activities or land alteration resulting in total earth disturbance equal to or greater than 1 acre (or activities that are part of a larger common plan of development disturbing greater than 1 acre) on an area that has not previously been developed to include impervious cover. </w:t>
      </w:r>
    </w:p>
    <w:p w:rsidR="007B44F8" w:rsidRPr="001838E1" w:rsidRDefault="007B44F8" w:rsidP="007B44F8">
      <w:pPr>
        <w:spacing w:after="0"/>
        <w:rPr>
          <w:rFonts w:ascii="Times New Roman" w:hAnsi="Times New Roman" w:cs="Times New Roman"/>
          <w:sz w:val="24"/>
          <w:szCs w:val="24"/>
        </w:rPr>
      </w:pPr>
      <w:r w:rsidRPr="001838E1">
        <w:rPr>
          <w:rFonts w:ascii="Times New Roman" w:hAnsi="Times New Roman" w:cs="Times New Roman"/>
          <w:b/>
          <w:bCs/>
          <w:sz w:val="24"/>
          <w:szCs w:val="24"/>
        </w:rPr>
        <w:t>Redevelopment</w:t>
      </w:r>
      <w:r w:rsidRPr="001838E1">
        <w:rPr>
          <w:rFonts w:ascii="Times New Roman" w:hAnsi="Times New Roman" w:cs="Times New Roman"/>
          <w:sz w:val="24"/>
          <w:szCs w:val="24"/>
        </w:rPr>
        <w:t xml:space="preserve"> – Defined as any construction, land alteration, or improvement of impervious surface resulting in total earth disturbances equal or greater than 1 acre (or activities that are part of a larger common plan of development disturbing greater than 1 acre) that does not meet the definition of new development. </w:t>
      </w:r>
    </w:p>
    <w:p w:rsidR="007B44F8" w:rsidRDefault="007B44F8" w:rsidP="007B44F8">
      <w:pPr>
        <w:spacing w:after="0"/>
      </w:pPr>
    </w:p>
    <w:p w:rsidR="007B44F8" w:rsidRPr="00E5262B" w:rsidRDefault="007B44F8" w:rsidP="007B44F8">
      <w:pPr>
        <w:pStyle w:val="Heading2"/>
        <w:numPr>
          <w:ilvl w:val="0"/>
          <w:numId w:val="0"/>
        </w:numPr>
        <w:spacing w:after="0"/>
        <w:ind w:left="576" w:hanging="576"/>
        <w:jc w:val="both"/>
        <w:rPr>
          <w:rFonts w:ascii="Arial Black" w:hAnsi="Arial Black"/>
        </w:rPr>
      </w:pPr>
      <w:r w:rsidRPr="00E5262B">
        <w:rPr>
          <w:rFonts w:ascii="Arial Black" w:hAnsi="Arial Black"/>
        </w:rPr>
        <w:t xml:space="preserve">Applicability </w:t>
      </w:r>
    </w:p>
    <w:p w:rsidR="007B44F8" w:rsidRPr="00581040" w:rsidRDefault="007B44F8" w:rsidP="007B44F8">
      <w:pPr>
        <w:spacing w:after="0"/>
      </w:pPr>
    </w:p>
    <w:p w:rsidR="007B44F8" w:rsidRDefault="007B44F8" w:rsidP="007B44F8">
      <w:pPr>
        <w:spacing w:after="0"/>
        <w:rPr>
          <w:rFonts w:ascii="Times New Roman" w:eastAsia="Calibri" w:hAnsi="Times New Roman" w:cs="Times New Roman"/>
          <w:sz w:val="24"/>
          <w:szCs w:val="24"/>
        </w:rPr>
      </w:pPr>
      <w:r w:rsidRPr="00581040">
        <w:rPr>
          <w:rFonts w:ascii="Times New Roman" w:eastAsia="Calibri" w:hAnsi="Times New Roman" w:cs="Times New Roman"/>
          <w:sz w:val="24"/>
          <w:szCs w:val="24"/>
        </w:rPr>
        <w:t xml:space="preserve">Per the </w:t>
      </w:r>
      <w:r w:rsidR="00DA1C83" w:rsidRPr="00DA1C83">
        <w:rPr>
          <w:rFonts w:ascii="Times New Roman" w:eastAsia="Calibri" w:hAnsi="Times New Roman" w:cs="Times New Roman"/>
          <w:sz w:val="24"/>
          <w:szCs w:val="24"/>
        </w:rPr>
        <w:t>General Permit for Stormwater Discharges from Small Municipal Separate Storm Sewer Systems (MS4s) in Massachusetts</w:t>
      </w:r>
      <w:r w:rsidRPr="00581040">
        <w:rPr>
          <w:rFonts w:ascii="Times New Roman" w:eastAsia="Calibri" w:hAnsi="Times New Roman" w:cs="Times New Roman"/>
          <w:sz w:val="24"/>
          <w:szCs w:val="24"/>
        </w:rPr>
        <w:t xml:space="preserve">, this policy is applicable to runoff from new development and redevelopment sites that disturb one or more acres and discharge into the permittees MS4. This includes sites that are less than one acre if part of a larger common plan of development or redevelopment which disturbs greater than one acre. </w:t>
      </w:r>
    </w:p>
    <w:p w:rsidR="00AF2801" w:rsidRDefault="00AF2801" w:rsidP="007B44F8">
      <w:pPr>
        <w:spacing w:after="0"/>
        <w:rPr>
          <w:rFonts w:ascii="Times New Roman" w:eastAsia="Calibri" w:hAnsi="Times New Roman" w:cs="Times New Roman"/>
          <w:sz w:val="24"/>
          <w:szCs w:val="24"/>
        </w:rPr>
      </w:pPr>
    </w:p>
    <w:p w:rsidR="00AF2801" w:rsidRPr="00AF2801" w:rsidRDefault="00AF2801" w:rsidP="00AF2801">
      <w:pPr>
        <w:pStyle w:val="Heading2"/>
        <w:numPr>
          <w:ilvl w:val="0"/>
          <w:numId w:val="0"/>
        </w:numPr>
        <w:spacing w:after="0"/>
        <w:ind w:left="576" w:hanging="576"/>
        <w:jc w:val="both"/>
        <w:rPr>
          <w:rFonts w:ascii="Times New Roman" w:hAnsi="Times New Roman"/>
        </w:rPr>
      </w:pPr>
      <w:r>
        <w:rPr>
          <w:rFonts w:ascii="Arial Black" w:hAnsi="Arial Black"/>
        </w:rPr>
        <w:t>REFERENCES, G</w:t>
      </w:r>
      <w:r w:rsidR="00EF6FE0">
        <w:rPr>
          <w:rFonts w:ascii="Arial Black" w:hAnsi="Arial Black"/>
        </w:rPr>
        <w:t>uidES</w:t>
      </w:r>
      <w:r>
        <w:rPr>
          <w:rFonts w:ascii="Arial Black" w:hAnsi="Arial Black"/>
        </w:rPr>
        <w:t>, Tools</w:t>
      </w:r>
      <w:r w:rsidRPr="00E5262B">
        <w:rPr>
          <w:rFonts w:ascii="Arial Black" w:hAnsi="Arial Black"/>
        </w:rPr>
        <w:t xml:space="preserve"> </w:t>
      </w:r>
    </w:p>
    <w:p w:rsidR="00AF2801" w:rsidRDefault="00AF2801" w:rsidP="007B44F8">
      <w:pPr>
        <w:spacing w:after="0"/>
        <w:rPr>
          <w:rFonts w:ascii="Times New Roman" w:eastAsia="Calibri" w:hAnsi="Times New Roman" w:cs="Times New Roman"/>
          <w:sz w:val="24"/>
          <w:szCs w:val="24"/>
        </w:rPr>
      </w:pPr>
    </w:p>
    <w:p w:rsidR="00EF6FE0" w:rsidRDefault="00AF2801" w:rsidP="007B44F8">
      <w:pPr>
        <w:spacing w:after="0"/>
        <w:rPr>
          <w:rFonts w:ascii="Times New Roman" w:eastAsia="Calibri" w:hAnsi="Times New Roman" w:cs="Times New Roman"/>
          <w:sz w:val="24"/>
          <w:szCs w:val="24"/>
        </w:rPr>
      </w:pPr>
      <w:r>
        <w:rPr>
          <w:rFonts w:ascii="Times New Roman" w:eastAsia="Calibri" w:hAnsi="Times New Roman" w:cs="Times New Roman"/>
          <w:sz w:val="24"/>
          <w:szCs w:val="24"/>
        </w:rPr>
        <w:t>UFC 3-210-10, Low Impact Design (LID) dated 2020</w:t>
      </w:r>
      <w:r w:rsidR="00EF6FE0">
        <w:rPr>
          <w:rFonts w:ascii="Times New Roman" w:eastAsia="Calibri" w:hAnsi="Times New Roman" w:cs="Times New Roman"/>
          <w:sz w:val="24"/>
          <w:szCs w:val="24"/>
        </w:rPr>
        <w:t xml:space="preserve">.  </w:t>
      </w:r>
    </w:p>
    <w:p w:rsidR="007B44F8" w:rsidRDefault="00EF6FE0" w:rsidP="007B44F8">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Website:  </w:t>
      </w:r>
      <w:r w:rsidRPr="00EF6FE0">
        <w:rPr>
          <w:rFonts w:ascii="Times New Roman" w:eastAsia="Calibri" w:hAnsi="Times New Roman" w:cs="Times New Roman"/>
          <w:sz w:val="24"/>
          <w:szCs w:val="24"/>
        </w:rPr>
        <w:t>https://www.wbdg.org/ffc/dod/unified-facilities-criteria-ufc</w:t>
      </w:r>
    </w:p>
    <w:p w:rsidR="00EF6FE0" w:rsidRDefault="00EF6FE0" w:rsidP="007B44F8">
      <w:pPr>
        <w:spacing w:after="0"/>
        <w:rPr>
          <w:rFonts w:ascii="Times New Roman" w:eastAsia="Calibri" w:hAnsi="Times New Roman" w:cs="Times New Roman"/>
          <w:sz w:val="24"/>
          <w:szCs w:val="24"/>
        </w:rPr>
      </w:pPr>
    </w:p>
    <w:p w:rsidR="00AF2801" w:rsidRDefault="00AF2801" w:rsidP="007B44F8">
      <w:pPr>
        <w:spacing w:after="0"/>
        <w:rPr>
          <w:rFonts w:ascii="Times New Roman" w:eastAsia="Calibri" w:hAnsi="Times New Roman" w:cs="Times New Roman"/>
          <w:sz w:val="24"/>
          <w:szCs w:val="24"/>
        </w:rPr>
      </w:pPr>
      <w:r>
        <w:rPr>
          <w:rFonts w:ascii="Times New Roman" w:eastAsia="Calibri" w:hAnsi="Times New Roman" w:cs="Times New Roman"/>
          <w:sz w:val="24"/>
          <w:szCs w:val="24"/>
        </w:rPr>
        <w:t>Massachusetts Stormwater Handbook (MSH) dated 2008</w:t>
      </w:r>
    </w:p>
    <w:p w:rsidR="00492D44" w:rsidRDefault="000852C0" w:rsidP="007B44F8">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Website:  </w:t>
      </w:r>
      <w:r w:rsidRPr="000852C0">
        <w:rPr>
          <w:rFonts w:ascii="Times New Roman" w:eastAsia="Calibri" w:hAnsi="Times New Roman" w:cs="Times New Roman"/>
          <w:sz w:val="24"/>
          <w:szCs w:val="24"/>
        </w:rPr>
        <w:t>https://www.mass.gov/guides/massachusetts-stormwater-handbook-and-stormwater-standards</w:t>
      </w:r>
    </w:p>
    <w:p w:rsidR="000852C0" w:rsidRDefault="000852C0" w:rsidP="007B44F8">
      <w:pPr>
        <w:spacing w:after="0"/>
        <w:rPr>
          <w:rFonts w:ascii="Times New Roman" w:eastAsia="Calibri" w:hAnsi="Times New Roman" w:cs="Times New Roman"/>
          <w:sz w:val="24"/>
          <w:szCs w:val="24"/>
        </w:rPr>
      </w:pPr>
    </w:p>
    <w:p w:rsidR="00EF6FE0" w:rsidRDefault="00AF2801" w:rsidP="007B44F8">
      <w:pPr>
        <w:spacing w:after="0"/>
        <w:rPr>
          <w:rFonts w:ascii="Times New Roman" w:eastAsia="Calibri" w:hAnsi="Times New Roman" w:cs="Times New Roman"/>
          <w:sz w:val="24"/>
          <w:szCs w:val="24"/>
        </w:rPr>
      </w:pPr>
      <w:r w:rsidRPr="00AF2801">
        <w:rPr>
          <w:rFonts w:ascii="Times New Roman" w:eastAsia="Calibri" w:hAnsi="Times New Roman" w:cs="Times New Roman"/>
          <w:sz w:val="24"/>
          <w:szCs w:val="24"/>
        </w:rPr>
        <w:t xml:space="preserve">EPA Region 1’s </w:t>
      </w:r>
      <w:r w:rsidR="005A51AE" w:rsidRPr="005A51AE">
        <w:rPr>
          <w:rFonts w:ascii="Times New Roman" w:eastAsia="Calibri" w:hAnsi="Times New Roman" w:cs="Times New Roman"/>
          <w:sz w:val="24"/>
          <w:szCs w:val="24"/>
        </w:rPr>
        <w:t>Best Management Practice Accounting and Tracking Tool (BMP-BATT)</w:t>
      </w:r>
      <w:r w:rsidR="005A51AE">
        <w:rPr>
          <w:rFonts w:ascii="Times New Roman" w:eastAsia="Calibri" w:hAnsi="Times New Roman" w:cs="Times New Roman"/>
          <w:sz w:val="24"/>
          <w:szCs w:val="24"/>
        </w:rPr>
        <w:t xml:space="preserve"> </w:t>
      </w:r>
      <w:r w:rsidR="00492D44">
        <w:rPr>
          <w:rFonts w:ascii="Times New Roman" w:eastAsia="Calibri" w:hAnsi="Times New Roman" w:cs="Times New Roman"/>
          <w:sz w:val="24"/>
          <w:szCs w:val="24"/>
        </w:rPr>
        <w:t xml:space="preserve">2016.  </w:t>
      </w:r>
    </w:p>
    <w:p w:rsidR="00AF2801" w:rsidRDefault="00EF6FE0" w:rsidP="007B44F8">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Website:  </w:t>
      </w:r>
      <w:r w:rsidR="00492D44" w:rsidRPr="00492D44">
        <w:rPr>
          <w:rFonts w:ascii="Times New Roman" w:eastAsia="Calibri" w:hAnsi="Times New Roman" w:cs="Times New Roman"/>
          <w:sz w:val="24"/>
          <w:szCs w:val="24"/>
        </w:rPr>
        <w:t>https://www.epa.gov/npdes-permits/stormwater-tools-new-england</w:t>
      </w:r>
    </w:p>
    <w:p w:rsidR="003B7B19" w:rsidRDefault="003B7B19" w:rsidP="000E06EA">
      <w:pPr>
        <w:spacing w:after="0"/>
        <w:rPr>
          <w:rFonts w:ascii="Times New Roman" w:eastAsia="Calibri" w:hAnsi="Times New Roman" w:cs="Times New Roman"/>
          <w:sz w:val="24"/>
          <w:szCs w:val="24"/>
        </w:rPr>
      </w:pPr>
    </w:p>
    <w:p w:rsidR="003B7B19" w:rsidRDefault="003B7B19" w:rsidP="000E06E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Current </w:t>
      </w:r>
      <w:r w:rsidR="000E06EA">
        <w:rPr>
          <w:rFonts w:ascii="Times New Roman" w:eastAsia="Calibri" w:hAnsi="Times New Roman" w:cs="Times New Roman"/>
          <w:sz w:val="24"/>
          <w:szCs w:val="24"/>
        </w:rPr>
        <w:t>Westover</w:t>
      </w:r>
      <w:r w:rsidR="005C4536">
        <w:rPr>
          <w:rFonts w:ascii="Times New Roman" w:eastAsia="Calibri" w:hAnsi="Times New Roman" w:cs="Times New Roman"/>
          <w:sz w:val="24"/>
          <w:szCs w:val="24"/>
        </w:rPr>
        <w:t xml:space="preserve"> General</w:t>
      </w:r>
      <w:r w:rsidR="000E06EA">
        <w:rPr>
          <w:rFonts w:ascii="Times New Roman" w:eastAsia="Calibri" w:hAnsi="Times New Roman" w:cs="Times New Roman"/>
          <w:sz w:val="24"/>
          <w:szCs w:val="24"/>
        </w:rPr>
        <w:t xml:space="preserve"> </w:t>
      </w:r>
      <w:r w:rsidR="00AF2801" w:rsidRPr="00DA1C83">
        <w:rPr>
          <w:rFonts w:ascii="Times New Roman" w:eastAsia="Calibri" w:hAnsi="Times New Roman" w:cs="Times New Roman"/>
          <w:sz w:val="24"/>
          <w:szCs w:val="24"/>
        </w:rPr>
        <w:t>Permit for Stormwater Discharges from Small Municipal Separate Storm Sewer Systems (MS4s) in Massachusetts</w:t>
      </w:r>
      <w:r w:rsidR="00AF2801">
        <w:rPr>
          <w:rFonts w:ascii="Times New Roman" w:eastAsia="Calibri" w:hAnsi="Times New Roman" w:cs="Times New Roman"/>
          <w:sz w:val="24"/>
          <w:szCs w:val="24"/>
        </w:rPr>
        <w:t xml:space="preserve">, </w:t>
      </w:r>
      <w:r w:rsidRPr="003B7B19">
        <w:rPr>
          <w:rFonts w:ascii="Times New Roman" w:eastAsia="Calibri" w:hAnsi="Times New Roman" w:cs="Times New Roman"/>
          <w:sz w:val="24"/>
          <w:szCs w:val="24"/>
        </w:rPr>
        <w:t>Effective July 1, 2018 with Modific</w:t>
      </w:r>
      <w:r>
        <w:rPr>
          <w:rFonts w:ascii="Times New Roman" w:eastAsia="Calibri" w:hAnsi="Times New Roman" w:cs="Times New Roman"/>
          <w:sz w:val="24"/>
          <w:szCs w:val="24"/>
        </w:rPr>
        <w:t xml:space="preserve">ation Effective January 6, 2021  </w:t>
      </w:r>
    </w:p>
    <w:p w:rsidR="00AF2801" w:rsidRDefault="003B7B19" w:rsidP="000E06E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Website: </w:t>
      </w:r>
      <w:r w:rsidRPr="003B7B19">
        <w:rPr>
          <w:rFonts w:ascii="Times New Roman" w:eastAsia="Calibri" w:hAnsi="Times New Roman" w:cs="Times New Roman"/>
          <w:sz w:val="24"/>
          <w:szCs w:val="24"/>
        </w:rPr>
        <w:t>https://www.epa.gov/npdes-permits/massachusetts-small-ms4-general-permit</w:t>
      </w:r>
    </w:p>
    <w:p w:rsidR="00AF2801" w:rsidRPr="00581040" w:rsidRDefault="00AF2801" w:rsidP="007B44F8">
      <w:pPr>
        <w:spacing w:after="0"/>
        <w:rPr>
          <w:rFonts w:ascii="Times New Roman" w:eastAsia="Calibri" w:hAnsi="Times New Roman" w:cs="Times New Roman"/>
          <w:sz w:val="24"/>
          <w:szCs w:val="24"/>
        </w:rPr>
      </w:pPr>
    </w:p>
    <w:p w:rsidR="007B44F8" w:rsidRPr="00E5262B" w:rsidRDefault="007B44F8" w:rsidP="007B44F8">
      <w:pPr>
        <w:pStyle w:val="Heading2"/>
        <w:numPr>
          <w:ilvl w:val="0"/>
          <w:numId w:val="0"/>
        </w:numPr>
        <w:spacing w:after="0"/>
        <w:ind w:left="576" w:hanging="576"/>
        <w:jc w:val="both"/>
        <w:rPr>
          <w:rFonts w:ascii="Arial Black" w:hAnsi="Arial Black"/>
        </w:rPr>
      </w:pPr>
      <w:r w:rsidRPr="00E5262B">
        <w:rPr>
          <w:rFonts w:ascii="Arial Black" w:hAnsi="Arial Black"/>
        </w:rPr>
        <w:t>Requirements</w:t>
      </w:r>
    </w:p>
    <w:p w:rsidR="007B44F8" w:rsidRDefault="007B44F8" w:rsidP="007B44F8">
      <w:pPr>
        <w:spacing w:after="0"/>
      </w:pPr>
    </w:p>
    <w:p w:rsidR="007B44F8" w:rsidRDefault="007B44F8" w:rsidP="007B44F8">
      <w:pPr>
        <w:pStyle w:val="EAText"/>
      </w:pPr>
      <w:r>
        <w:t xml:space="preserve">The following five items must be met for new </w:t>
      </w:r>
      <w:r w:rsidR="00FA35D3">
        <w:t>developments and redevelopments:</w:t>
      </w:r>
      <w:r>
        <w:t xml:space="preserve"> </w:t>
      </w:r>
    </w:p>
    <w:p w:rsidR="007B44F8" w:rsidRDefault="007B44F8" w:rsidP="007B44F8">
      <w:pPr>
        <w:pStyle w:val="EAText"/>
      </w:pPr>
    </w:p>
    <w:p w:rsidR="007B44F8" w:rsidRPr="00581040" w:rsidRDefault="00350D14" w:rsidP="007B44F8">
      <w:pPr>
        <w:pStyle w:val="ListParagraph"/>
        <w:spacing w:after="0" w:line="240" w:lineRule="auto"/>
        <w:ind w:left="360" w:hanging="360"/>
        <w:rPr>
          <w:rFonts w:ascii="Times New Roman" w:hAnsi="Times New Roman"/>
          <w:b/>
          <w:bCs/>
          <w:i/>
          <w:iCs/>
          <w:sz w:val="24"/>
          <w:szCs w:val="24"/>
        </w:rPr>
      </w:pPr>
      <w:r>
        <w:rPr>
          <w:rFonts w:ascii="Times New Roman" w:hAnsi="Times New Roman"/>
          <w:b/>
          <w:bCs/>
          <w:i/>
          <w:iCs/>
          <w:sz w:val="24"/>
          <w:szCs w:val="24"/>
        </w:rPr>
        <w:t xml:space="preserve">Permit </w:t>
      </w:r>
      <w:r w:rsidR="007B44F8" w:rsidRPr="00581040">
        <w:rPr>
          <w:rFonts w:ascii="Times New Roman" w:hAnsi="Times New Roman"/>
          <w:b/>
          <w:bCs/>
          <w:i/>
          <w:iCs/>
          <w:sz w:val="24"/>
          <w:szCs w:val="24"/>
        </w:rPr>
        <w:t>Requirement 1 – Low Impact Development</w:t>
      </w:r>
    </w:p>
    <w:tbl>
      <w:tblPr>
        <w:tblStyle w:val="TableGrid"/>
        <w:tblW w:w="0" w:type="auto"/>
        <w:tblInd w:w="360" w:type="dxa"/>
        <w:shd w:val="clear" w:color="auto" w:fill="F2F2F2" w:themeFill="background1" w:themeFillShade="F2"/>
        <w:tblLook w:val="04A0" w:firstRow="1" w:lastRow="0" w:firstColumn="1" w:lastColumn="0" w:noHBand="0" w:noVBand="1"/>
      </w:tblPr>
      <w:tblGrid>
        <w:gridCol w:w="2965"/>
        <w:gridCol w:w="6025"/>
      </w:tblGrid>
      <w:tr w:rsidR="00E5262B" w:rsidTr="00AF2801">
        <w:tc>
          <w:tcPr>
            <w:tcW w:w="2965" w:type="dxa"/>
            <w:shd w:val="clear" w:color="auto" w:fill="F2F2F2" w:themeFill="background1" w:themeFillShade="F2"/>
          </w:tcPr>
          <w:p w:rsidR="00E5262B" w:rsidRDefault="00E5262B" w:rsidP="00E5262B">
            <w:pPr>
              <w:pStyle w:val="ListParagraph"/>
              <w:spacing w:after="0" w:line="240" w:lineRule="auto"/>
              <w:ind w:left="0"/>
              <w:rPr>
                <w:rFonts w:ascii="Times New Roman" w:hAnsi="Times New Roman"/>
                <w:sz w:val="24"/>
                <w:szCs w:val="24"/>
              </w:rPr>
            </w:pPr>
            <w:r>
              <w:rPr>
                <w:rFonts w:ascii="Times New Roman" w:hAnsi="Times New Roman"/>
                <w:sz w:val="24"/>
                <w:szCs w:val="24"/>
              </w:rPr>
              <w:t>Applicable Guidance Docs:</w:t>
            </w:r>
          </w:p>
        </w:tc>
        <w:tc>
          <w:tcPr>
            <w:tcW w:w="6025" w:type="dxa"/>
            <w:shd w:val="clear" w:color="auto" w:fill="F2F2F2" w:themeFill="background1" w:themeFillShade="F2"/>
          </w:tcPr>
          <w:p w:rsidR="00E5262B" w:rsidRDefault="00492D44" w:rsidP="00E5262B">
            <w:pPr>
              <w:pStyle w:val="ListParagraph"/>
              <w:spacing w:after="0" w:line="240" w:lineRule="auto"/>
              <w:ind w:left="0"/>
              <w:rPr>
                <w:rFonts w:ascii="Times New Roman" w:hAnsi="Times New Roman"/>
                <w:sz w:val="24"/>
                <w:szCs w:val="24"/>
              </w:rPr>
            </w:pPr>
            <w:r>
              <w:rPr>
                <w:rFonts w:ascii="Times New Roman" w:hAnsi="Times New Roman"/>
                <w:sz w:val="24"/>
                <w:szCs w:val="24"/>
              </w:rPr>
              <w:t>LID UFC and MSH</w:t>
            </w:r>
          </w:p>
        </w:tc>
      </w:tr>
    </w:tbl>
    <w:p w:rsidR="00E5262B" w:rsidRDefault="00E5262B" w:rsidP="00E5262B">
      <w:pPr>
        <w:pStyle w:val="ListParagraph"/>
        <w:spacing w:after="0" w:line="240" w:lineRule="auto"/>
        <w:ind w:left="360" w:hanging="360"/>
        <w:rPr>
          <w:rFonts w:ascii="Times New Roman" w:hAnsi="Times New Roman"/>
          <w:sz w:val="24"/>
          <w:szCs w:val="24"/>
        </w:rPr>
      </w:pPr>
    </w:p>
    <w:p w:rsidR="00E5262B" w:rsidRDefault="00E5262B" w:rsidP="007B44F8">
      <w:pPr>
        <w:pStyle w:val="ListParagraph"/>
        <w:spacing w:after="0" w:line="240" w:lineRule="auto"/>
        <w:ind w:hanging="360"/>
        <w:rPr>
          <w:rFonts w:ascii="Times New Roman" w:hAnsi="Times New Roman"/>
          <w:sz w:val="24"/>
          <w:szCs w:val="24"/>
        </w:rPr>
      </w:pPr>
    </w:p>
    <w:p w:rsidR="007B44F8" w:rsidRDefault="007B44F8" w:rsidP="007B44F8">
      <w:pPr>
        <w:pStyle w:val="EAText"/>
      </w:pPr>
      <w:r>
        <w:t xml:space="preserve">To meet Requirement 1, all new developments and redevelopments must </w:t>
      </w:r>
      <w:r w:rsidRPr="00125774">
        <w:rPr>
          <w:b/>
        </w:rPr>
        <w:t>consider</w:t>
      </w:r>
      <w:r>
        <w:t xml:space="preserve"> taking advantage of the Low Impact Development Site Design Credits outlined in the Chapter 1 Volume 3 of the MSH. These design credits may allow for the elimination of certain structural BMPs. Additionally, site designs must also </w:t>
      </w:r>
      <w:r w:rsidRPr="00125774">
        <w:rPr>
          <w:b/>
        </w:rPr>
        <w:t>consider</w:t>
      </w:r>
      <w:r>
        <w:t xml:space="preserve"> use of the LID technologies listed in Section 3-3 of Unified Facilities </w:t>
      </w:r>
      <w:r w:rsidRPr="00E5262B">
        <w:t>Criteria (UFC) 3-210-10 Low Impact Development.</w:t>
      </w:r>
      <w:r>
        <w:t xml:space="preserve"> </w:t>
      </w:r>
      <w:r w:rsidRPr="00125774">
        <w:rPr>
          <w:b/>
        </w:rPr>
        <w:t>Consideration</w:t>
      </w:r>
      <w:r>
        <w:t xml:space="preserve"> of these techniques must be documented and discussed in the design report. </w:t>
      </w:r>
    </w:p>
    <w:p w:rsidR="007B44F8" w:rsidRDefault="007B44F8" w:rsidP="007B44F8">
      <w:pPr>
        <w:pStyle w:val="EAText"/>
      </w:pPr>
    </w:p>
    <w:p w:rsidR="007B44F8" w:rsidRDefault="00350D14" w:rsidP="00C46813">
      <w:pPr>
        <w:pStyle w:val="ListParagraph"/>
        <w:spacing w:after="0" w:line="240" w:lineRule="auto"/>
        <w:ind w:left="360" w:hanging="360"/>
      </w:pPr>
      <w:r>
        <w:rPr>
          <w:rFonts w:ascii="Times New Roman" w:hAnsi="Times New Roman"/>
          <w:b/>
          <w:bCs/>
          <w:i/>
          <w:iCs/>
          <w:sz w:val="24"/>
          <w:szCs w:val="24"/>
        </w:rPr>
        <w:t xml:space="preserve">Permit </w:t>
      </w:r>
      <w:r w:rsidR="007B44F8" w:rsidRPr="00E30016">
        <w:rPr>
          <w:rFonts w:ascii="Times New Roman" w:hAnsi="Times New Roman"/>
          <w:b/>
          <w:bCs/>
          <w:i/>
          <w:iCs/>
          <w:sz w:val="24"/>
          <w:szCs w:val="24"/>
        </w:rPr>
        <w:t>Requirement 2 – Massachusetts Stormwater Handbook</w:t>
      </w:r>
    </w:p>
    <w:tbl>
      <w:tblPr>
        <w:tblStyle w:val="TableGrid"/>
        <w:tblW w:w="0" w:type="auto"/>
        <w:tblInd w:w="360" w:type="dxa"/>
        <w:shd w:val="clear" w:color="auto" w:fill="F2F2F2" w:themeFill="background1" w:themeFillShade="F2"/>
        <w:tblLook w:val="04A0" w:firstRow="1" w:lastRow="0" w:firstColumn="1" w:lastColumn="0" w:noHBand="0" w:noVBand="1"/>
      </w:tblPr>
      <w:tblGrid>
        <w:gridCol w:w="2965"/>
        <w:gridCol w:w="6025"/>
      </w:tblGrid>
      <w:tr w:rsidR="00E5262B" w:rsidTr="00492D44">
        <w:tc>
          <w:tcPr>
            <w:tcW w:w="2965" w:type="dxa"/>
            <w:shd w:val="clear" w:color="auto" w:fill="F2F2F2" w:themeFill="background1" w:themeFillShade="F2"/>
          </w:tcPr>
          <w:p w:rsidR="00E5262B" w:rsidRDefault="00E5262B" w:rsidP="008959FF">
            <w:pPr>
              <w:pStyle w:val="ListParagraph"/>
              <w:spacing w:after="0" w:line="240" w:lineRule="auto"/>
              <w:ind w:left="0"/>
              <w:rPr>
                <w:rFonts w:ascii="Times New Roman" w:hAnsi="Times New Roman"/>
                <w:sz w:val="24"/>
                <w:szCs w:val="24"/>
              </w:rPr>
            </w:pPr>
            <w:r>
              <w:rPr>
                <w:rFonts w:ascii="Times New Roman" w:hAnsi="Times New Roman"/>
                <w:sz w:val="24"/>
                <w:szCs w:val="24"/>
              </w:rPr>
              <w:t>Applicable Guidance Docs:</w:t>
            </w:r>
          </w:p>
        </w:tc>
        <w:tc>
          <w:tcPr>
            <w:tcW w:w="6025" w:type="dxa"/>
            <w:shd w:val="clear" w:color="auto" w:fill="F2F2F2" w:themeFill="background1" w:themeFillShade="F2"/>
          </w:tcPr>
          <w:p w:rsidR="00E5262B" w:rsidRDefault="00492D44" w:rsidP="008959FF">
            <w:pPr>
              <w:pStyle w:val="ListParagraph"/>
              <w:spacing w:after="0" w:line="240" w:lineRule="auto"/>
              <w:ind w:left="0"/>
              <w:rPr>
                <w:rFonts w:ascii="Times New Roman" w:hAnsi="Times New Roman"/>
                <w:sz w:val="24"/>
                <w:szCs w:val="24"/>
              </w:rPr>
            </w:pPr>
            <w:r>
              <w:rPr>
                <w:rFonts w:ascii="Times New Roman" w:hAnsi="Times New Roman"/>
                <w:sz w:val="24"/>
                <w:szCs w:val="24"/>
              </w:rPr>
              <w:t>MSH</w:t>
            </w:r>
          </w:p>
        </w:tc>
      </w:tr>
    </w:tbl>
    <w:p w:rsidR="00E5262B" w:rsidRDefault="00E5262B" w:rsidP="007B44F8">
      <w:pPr>
        <w:pStyle w:val="EAText"/>
      </w:pPr>
    </w:p>
    <w:p w:rsidR="00E5262B" w:rsidRDefault="00E5262B" w:rsidP="007B44F8">
      <w:pPr>
        <w:pStyle w:val="EAText"/>
      </w:pPr>
    </w:p>
    <w:p w:rsidR="007B44F8" w:rsidRDefault="00350D14" w:rsidP="007B44F8">
      <w:pPr>
        <w:pStyle w:val="EAText"/>
      </w:pPr>
      <w:r w:rsidRPr="00350D14">
        <w:t xml:space="preserve">Stormwater management system design shall be consistent with, or more stringent than, the requirements of the 2008 Massachusetts Stormwater Handbook (MSH). </w:t>
      </w:r>
      <w:r w:rsidR="007B44F8">
        <w:t xml:space="preserve">MSH requires compliance with a set of Stormwater Management Standards, outlined below: </w:t>
      </w:r>
    </w:p>
    <w:p w:rsidR="007B44F8" w:rsidRDefault="007B44F8" w:rsidP="007B44F8">
      <w:pPr>
        <w:pStyle w:val="EAText"/>
      </w:pPr>
    </w:p>
    <w:p w:rsidR="007B44F8" w:rsidRDefault="00350D14" w:rsidP="007B44F8">
      <w:pPr>
        <w:pStyle w:val="EAText"/>
        <w:ind w:left="720" w:right="720"/>
      </w:pPr>
      <w:r>
        <w:rPr>
          <w:b/>
          <w:bCs/>
        </w:rPr>
        <w:t xml:space="preserve">Handbook </w:t>
      </w:r>
      <w:r w:rsidR="007B44F8" w:rsidRPr="00E30016">
        <w:rPr>
          <w:b/>
          <w:bCs/>
        </w:rPr>
        <w:t>Standard 1</w:t>
      </w:r>
      <w:r w:rsidR="007B44F8">
        <w:t xml:space="preserve"> – </w:t>
      </w:r>
      <w:r w:rsidR="007B44F8" w:rsidRPr="00E30016">
        <w:t xml:space="preserve">No new stormwater conveyances (e.g. outfalls) may discharge untreated stormwater directly to or cause erosion in wetlands or waters of the Commonwealth.  </w:t>
      </w:r>
    </w:p>
    <w:p w:rsidR="007B44F8" w:rsidRDefault="007B44F8" w:rsidP="007B44F8">
      <w:pPr>
        <w:pStyle w:val="EAText"/>
        <w:ind w:left="720" w:right="720"/>
      </w:pPr>
    </w:p>
    <w:p w:rsidR="007B44F8" w:rsidRDefault="00350D14" w:rsidP="007B44F8">
      <w:pPr>
        <w:pStyle w:val="EAText"/>
        <w:ind w:left="720" w:right="720"/>
      </w:pPr>
      <w:r>
        <w:rPr>
          <w:b/>
          <w:bCs/>
        </w:rPr>
        <w:t xml:space="preserve">Handbook </w:t>
      </w:r>
      <w:r w:rsidR="007B44F8" w:rsidRPr="00563FD9">
        <w:rPr>
          <w:b/>
          <w:bCs/>
        </w:rPr>
        <w:t>Standard 2</w:t>
      </w:r>
      <w:r w:rsidR="007B44F8">
        <w:t xml:space="preserve"> – </w:t>
      </w:r>
      <w:r w:rsidR="007B44F8" w:rsidRPr="00E30016">
        <w:t xml:space="preserve">Stormwater management systems shall be designed so that post-development peak discharge rates do not exceed pre-development peak discharge rates. </w:t>
      </w:r>
    </w:p>
    <w:p w:rsidR="007B44F8" w:rsidRDefault="007B44F8" w:rsidP="007B44F8">
      <w:pPr>
        <w:pStyle w:val="EAText"/>
        <w:ind w:left="720" w:right="720"/>
      </w:pPr>
    </w:p>
    <w:p w:rsidR="007B44F8" w:rsidRDefault="00350D14" w:rsidP="007B44F8">
      <w:pPr>
        <w:pStyle w:val="EAText"/>
        <w:ind w:left="720" w:right="720"/>
      </w:pPr>
      <w:r>
        <w:rPr>
          <w:b/>
          <w:bCs/>
        </w:rPr>
        <w:t xml:space="preserve">Handbook </w:t>
      </w:r>
      <w:r w:rsidR="007B44F8" w:rsidRPr="00563FD9">
        <w:rPr>
          <w:b/>
          <w:bCs/>
        </w:rPr>
        <w:t>Standard 3</w:t>
      </w:r>
      <w:r w:rsidR="007B44F8">
        <w:t xml:space="preserve"> – </w:t>
      </w:r>
      <w:r w:rsidR="007B44F8" w:rsidRPr="00E30016">
        <w:t xml:space="preserve">Loss of annual recharge to groundwater shall be eliminated or minimized through the use of infiltration measures including environmentally sensitive site design, low impact development techniques, stormwater best management practices, and good operation and maintenance. At a minimum, the annual recharge from the post-development site shall approximate the annual recharge from pre-development conditions based on soil type.  This Standard is met when the stormwater management system is designed to infiltrate the required recharge volume as determined in accordance with the Massachusetts Stormwater Handbook.  </w:t>
      </w:r>
    </w:p>
    <w:p w:rsidR="007B44F8" w:rsidRDefault="007B44F8" w:rsidP="007B44F8">
      <w:pPr>
        <w:pStyle w:val="EAText"/>
        <w:ind w:left="720" w:right="720"/>
      </w:pPr>
    </w:p>
    <w:p w:rsidR="007B44F8" w:rsidRDefault="00350D14" w:rsidP="007B44F8">
      <w:pPr>
        <w:pStyle w:val="EAText"/>
        <w:ind w:left="720" w:right="720"/>
      </w:pPr>
      <w:r>
        <w:rPr>
          <w:b/>
          <w:bCs/>
        </w:rPr>
        <w:t xml:space="preserve">Handbook </w:t>
      </w:r>
      <w:r w:rsidR="007B44F8" w:rsidRPr="00563FD9">
        <w:rPr>
          <w:b/>
          <w:bCs/>
        </w:rPr>
        <w:t>Standard 4</w:t>
      </w:r>
      <w:r w:rsidR="007B44F8">
        <w:t xml:space="preserve"> – </w:t>
      </w:r>
      <w:r w:rsidR="007B44F8" w:rsidRPr="00E30016">
        <w:t>Stormwater management systems shall be designed to remove 80% of the average annual post-construction load of Total Suspended Solids (TSS).</w:t>
      </w:r>
      <w:r w:rsidR="007B44F8">
        <w:t xml:space="preserve"> </w:t>
      </w:r>
      <w:r w:rsidR="007B44F8" w:rsidRPr="00E30016">
        <w:rPr>
          <w:i/>
          <w:iCs/>
        </w:rPr>
        <w:t>Note that this standard is superseded by Requirement 3 and 4 from the 2016 Final Permit.</w:t>
      </w:r>
      <w:r w:rsidR="007B44F8" w:rsidRPr="00563FD9">
        <w:rPr>
          <w:i/>
          <w:iCs/>
        </w:rPr>
        <w:t xml:space="preserve"> However, the MSH design process and BMPs can demonstrate compliance with the TSS removal percentages from the 2016 Final Permit.</w:t>
      </w:r>
      <w:r w:rsidR="007B44F8">
        <w:t xml:space="preserve"> </w:t>
      </w:r>
    </w:p>
    <w:p w:rsidR="007B44F8" w:rsidRDefault="007B44F8" w:rsidP="007B44F8">
      <w:pPr>
        <w:pStyle w:val="EAText"/>
      </w:pPr>
    </w:p>
    <w:p w:rsidR="007B44F8" w:rsidRDefault="00350D14" w:rsidP="007B44F8">
      <w:pPr>
        <w:pStyle w:val="EAText"/>
        <w:ind w:left="720" w:right="720"/>
      </w:pPr>
      <w:r>
        <w:rPr>
          <w:b/>
          <w:bCs/>
        </w:rPr>
        <w:lastRenderedPageBreak/>
        <w:t xml:space="preserve">Handbook </w:t>
      </w:r>
      <w:r w:rsidR="007B44F8" w:rsidRPr="00563FD9">
        <w:rPr>
          <w:b/>
          <w:bCs/>
        </w:rPr>
        <w:t xml:space="preserve">Standard 5 </w:t>
      </w:r>
      <w:r w:rsidR="007B44F8" w:rsidRPr="00563FD9">
        <w:t>– For land uses with higher potential pollutant loads</w:t>
      </w:r>
      <w:r w:rsidR="007B44F8">
        <w:t xml:space="preserve"> (LUHPPLs)</w:t>
      </w:r>
      <w:r w:rsidR="007B44F8" w:rsidRPr="00563FD9">
        <w:t>, source control and pollution prevention shall be implemented in accordance with the MSH to eliminate or reduce the discharge of stormwater runoff from such land uses to the maximum extent practicable.  If through source control and/or pollution prevention all land uses with higher potential pollutant loads cannot be completely protected from exposure to rain, snow, snow melt, and stormwater runoff, the proponent shall use the specific structural stormwater BMPs determined by the Department to be suitable for such uses as provided in the MSH.  Stormwater discharges from land uses with higher potential pollutant loads shall also comply with the requirements of the Massachusetts Clean Waters Act, M.G.L. c. 21, §§ 26-53 and the regulations promulgated thereunder at 314 CMR 3.00, 314 CMR 4.00 and 314 CMR 5.00.</w:t>
      </w:r>
    </w:p>
    <w:p w:rsidR="007B44F8" w:rsidRDefault="007B44F8" w:rsidP="007B44F8">
      <w:pPr>
        <w:pStyle w:val="EAText"/>
        <w:ind w:left="720" w:right="720"/>
        <w:rPr>
          <w:b/>
          <w:bCs/>
        </w:rPr>
      </w:pPr>
    </w:p>
    <w:p w:rsidR="007B44F8" w:rsidRDefault="00350D14" w:rsidP="007B44F8">
      <w:pPr>
        <w:pStyle w:val="EAText"/>
        <w:ind w:left="720" w:right="720"/>
        <w:rPr>
          <w:b/>
          <w:bCs/>
        </w:rPr>
      </w:pPr>
      <w:r>
        <w:rPr>
          <w:b/>
          <w:bCs/>
        </w:rPr>
        <w:t xml:space="preserve">Handbook </w:t>
      </w:r>
      <w:r w:rsidR="007B44F8">
        <w:rPr>
          <w:b/>
          <w:bCs/>
        </w:rPr>
        <w:t xml:space="preserve">Standard 6 – </w:t>
      </w:r>
      <w:r w:rsidR="007B44F8" w:rsidRPr="00563FD9">
        <w:t xml:space="preserve">Stormwater discharges within the Zone II or Interim Wellhead Protection Area of a public water supply, and stormwater discharges near or to any other critical area, require the use of the specific source control and pollution prevention measures and the specific structural stormwater </w:t>
      </w:r>
      <w:r w:rsidR="007B44F8">
        <w:t>BMPs</w:t>
      </w:r>
      <w:r w:rsidR="007B44F8" w:rsidRPr="00563FD9">
        <w:t xml:space="preserve"> determined by the Department to be suitable for managing discharges to such areas, as provided in the </w:t>
      </w:r>
      <w:r w:rsidR="007B44F8">
        <w:t>MSH</w:t>
      </w:r>
      <w:r w:rsidR="007B44F8" w:rsidRPr="00563FD9">
        <w:t>. A discharge is near a critical area if there is a strong likelihood of a significant impact occurring to said area, taking into account site-specific factors.  Stormwater discharges to Outstanding Resource Waters and Special Resource Waters shall be removed and set back from the receiving water or wetland and receive the highest and best practical method of treatment.  A “storm water discharge” as defined in 314 CMR 3.04(2)(a)1 or (b) to an Outstanding Resource Water or Special Resource Water shall comply with 314 CMR 3.00 and 314 CMR 4.00.  Storm</w:t>
      </w:r>
      <w:r w:rsidR="00E45253">
        <w:t xml:space="preserve">water discharges to </w:t>
      </w:r>
      <w:r w:rsidR="007B44F8" w:rsidRPr="00563FD9">
        <w:t>Zone I or Zone A are prohibited unless essential to the operation of a public water supply.</w:t>
      </w:r>
      <w:r w:rsidR="007B44F8" w:rsidRPr="00563FD9">
        <w:rPr>
          <w:b/>
          <w:bCs/>
        </w:rPr>
        <w:t xml:space="preserve">  </w:t>
      </w:r>
    </w:p>
    <w:p w:rsidR="007B44F8" w:rsidRDefault="007B44F8" w:rsidP="007B44F8">
      <w:pPr>
        <w:pStyle w:val="EAText"/>
        <w:ind w:left="720" w:right="720"/>
      </w:pPr>
    </w:p>
    <w:p w:rsidR="007B44F8" w:rsidRPr="00563FD9" w:rsidRDefault="00350D14" w:rsidP="007B44F8">
      <w:pPr>
        <w:pStyle w:val="EAText"/>
        <w:ind w:left="720" w:right="720"/>
      </w:pPr>
      <w:r>
        <w:rPr>
          <w:b/>
          <w:bCs/>
        </w:rPr>
        <w:t xml:space="preserve">Handbook </w:t>
      </w:r>
      <w:r w:rsidR="007B44F8" w:rsidRPr="00563FD9">
        <w:rPr>
          <w:b/>
          <w:bCs/>
        </w:rPr>
        <w:t>Standard 7</w:t>
      </w:r>
      <w:r w:rsidR="007B44F8">
        <w:t xml:space="preserve"> – </w:t>
      </w:r>
      <w:r w:rsidR="007B44F8" w:rsidRPr="00563FD9">
        <w:t>A redevelopment project is required to meet the following Stormwater Management Standards only to the maximum extent practicable: Standard 2, Standard 3, and the pretreatment and structural best management practice requirements of Standards 4, 5, and 6. Existing stormwater discharges shall comply with Standard 1 only to the maximum extent practicable.  A redevelopment project shall also comply with all other requirements of the Stormwater Management Standards and improve existing conditions.</w:t>
      </w:r>
    </w:p>
    <w:p w:rsidR="007B44F8" w:rsidRDefault="007B44F8" w:rsidP="007B44F8">
      <w:pPr>
        <w:pStyle w:val="EAText"/>
      </w:pPr>
    </w:p>
    <w:p w:rsidR="007B44F8" w:rsidRDefault="00350D14" w:rsidP="007B44F8">
      <w:pPr>
        <w:pStyle w:val="EAText"/>
        <w:ind w:left="720" w:right="720"/>
      </w:pPr>
      <w:r>
        <w:rPr>
          <w:b/>
          <w:bCs/>
        </w:rPr>
        <w:t xml:space="preserve">Handbook </w:t>
      </w:r>
      <w:r w:rsidR="007B44F8" w:rsidRPr="00563FD9">
        <w:rPr>
          <w:b/>
          <w:bCs/>
        </w:rPr>
        <w:t>Standard 8</w:t>
      </w:r>
      <w:r w:rsidR="007B44F8">
        <w:t xml:space="preserve"> – </w:t>
      </w:r>
      <w:r w:rsidR="007B44F8" w:rsidRPr="00563FD9">
        <w:t>A plan to control construction-related impacts including erosion, sedimentation and other pollutant sources during construction and land disturbance activities (construction period erosion, sedimentation, and pollution prevention plan) shall be developed and implemented.</w:t>
      </w:r>
    </w:p>
    <w:p w:rsidR="007B44F8" w:rsidRDefault="007B44F8" w:rsidP="007B44F8">
      <w:pPr>
        <w:pStyle w:val="EAText"/>
        <w:ind w:left="720" w:right="720"/>
      </w:pPr>
    </w:p>
    <w:p w:rsidR="007B44F8" w:rsidRDefault="00350D14" w:rsidP="007B44F8">
      <w:pPr>
        <w:pStyle w:val="EAText"/>
        <w:ind w:left="720" w:right="720"/>
      </w:pPr>
      <w:r>
        <w:rPr>
          <w:b/>
          <w:bCs/>
        </w:rPr>
        <w:t xml:space="preserve">Handbook </w:t>
      </w:r>
      <w:r w:rsidR="007B44F8" w:rsidRPr="00563FD9">
        <w:rPr>
          <w:b/>
          <w:bCs/>
        </w:rPr>
        <w:t xml:space="preserve">Standard 9 </w:t>
      </w:r>
      <w:r w:rsidR="007B44F8">
        <w:rPr>
          <w:b/>
          <w:bCs/>
        </w:rPr>
        <w:t>–</w:t>
      </w:r>
      <w:r w:rsidR="007B44F8" w:rsidRPr="00563FD9">
        <w:rPr>
          <w:b/>
          <w:bCs/>
        </w:rPr>
        <w:t xml:space="preserve"> </w:t>
      </w:r>
      <w:r w:rsidR="007B44F8" w:rsidRPr="00563FD9">
        <w:t>A long-term operation and maintenance plan shall be developed and implemented to ensure that stormwater management systems function as designed.</w:t>
      </w:r>
    </w:p>
    <w:p w:rsidR="007B44F8" w:rsidRDefault="007B44F8" w:rsidP="007B44F8">
      <w:pPr>
        <w:pStyle w:val="EAText"/>
        <w:ind w:left="720" w:right="720"/>
      </w:pPr>
    </w:p>
    <w:p w:rsidR="007B44F8" w:rsidRDefault="00350D14" w:rsidP="007B44F8">
      <w:pPr>
        <w:pStyle w:val="EAText"/>
        <w:ind w:left="720" w:right="720"/>
      </w:pPr>
      <w:r>
        <w:rPr>
          <w:b/>
          <w:bCs/>
        </w:rPr>
        <w:lastRenderedPageBreak/>
        <w:t xml:space="preserve">Handbook </w:t>
      </w:r>
      <w:r w:rsidR="007B44F8" w:rsidRPr="00563FD9">
        <w:rPr>
          <w:b/>
          <w:bCs/>
        </w:rPr>
        <w:t>Standard 10</w:t>
      </w:r>
      <w:r w:rsidR="007B44F8">
        <w:t xml:space="preserve"> – </w:t>
      </w:r>
      <w:r w:rsidR="007B44F8" w:rsidRPr="00563FD9">
        <w:t>All illicit discharges to the stormwater management system are prohibited.</w:t>
      </w:r>
    </w:p>
    <w:p w:rsidR="007B44F8" w:rsidRDefault="007B44F8" w:rsidP="007B44F8">
      <w:pPr>
        <w:pStyle w:val="EAText"/>
        <w:ind w:left="720" w:right="720"/>
      </w:pPr>
    </w:p>
    <w:p w:rsidR="007B44F8" w:rsidRDefault="007B44F8" w:rsidP="007B44F8">
      <w:pPr>
        <w:pStyle w:val="EAText"/>
      </w:pPr>
      <w:r>
        <w:t xml:space="preserve">The MSH provides detailed procedures for BMP selection and a detailed design methodology for stormwater management systems. Compliance with the MSH and the Stormwater Management Standards shall be demonstrated in a detailed design report. </w:t>
      </w:r>
    </w:p>
    <w:p w:rsidR="007B44F8" w:rsidRDefault="007B44F8" w:rsidP="007B44F8">
      <w:pPr>
        <w:pStyle w:val="EAText"/>
      </w:pPr>
    </w:p>
    <w:p w:rsidR="007B44F8" w:rsidRDefault="00350D14" w:rsidP="007B44F8">
      <w:pPr>
        <w:pStyle w:val="ListParagraph"/>
        <w:spacing w:after="0" w:line="240" w:lineRule="auto"/>
        <w:ind w:left="360" w:hanging="360"/>
        <w:rPr>
          <w:rFonts w:ascii="Times New Roman" w:hAnsi="Times New Roman"/>
          <w:bCs/>
          <w:iCs/>
          <w:sz w:val="24"/>
          <w:szCs w:val="24"/>
        </w:rPr>
      </w:pPr>
      <w:r>
        <w:rPr>
          <w:rFonts w:ascii="Times New Roman" w:hAnsi="Times New Roman"/>
          <w:b/>
          <w:bCs/>
          <w:i/>
          <w:iCs/>
          <w:sz w:val="24"/>
          <w:szCs w:val="24"/>
        </w:rPr>
        <w:t xml:space="preserve">Permit </w:t>
      </w:r>
      <w:r w:rsidR="007B44F8" w:rsidRPr="00563FD9">
        <w:rPr>
          <w:rFonts w:ascii="Times New Roman" w:hAnsi="Times New Roman"/>
          <w:b/>
          <w:bCs/>
          <w:i/>
          <w:iCs/>
          <w:sz w:val="24"/>
          <w:szCs w:val="24"/>
        </w:rPr>
        <w:t xml:space="preserve">Requirement 3 – </w:t>
      </w:r>
      <w:r w:rsidR="007B44F8" w:rsidRPr="005A51AE">
        <w:rPr>
          <w:rFonts w:ascii="Times New Roman" w:hAnsi="Times New Roman"/>
          <w:b/>
          <w:bCs/>
          <w:i/>
          <w:iCs/>
          <w:color w:val="FF0000"/>
          <w:sz w:val="24"/>
          <w:szCs w:val="24"/>
        </w:rPr>
        <w:t>New</w:t>
      </w:r>
      <w:r w:rsidR="007B44F8" w:rsidRPr="00563FD9">
        <w:rPr>
          <w:rFonts w:ascii="Times New Roman" w:hAnsi="Times New Roman"/>
          <w:b/>
          <w:bCs/>
          <w:i/>
          <w:iCs/>
          <w:sz w:val="24"/>
          <w:szCs w:val="24"/>
        </w:rPr>
        <w:t xml:space="preserve"> Development TSS and TP Removal Requirements</w:t>
      </w:r>
    </w:p>
    <w:tbl>
      <w:tblPr>
        <w:tblStyle w:val="TableGrid"/>
        <w:tblW w:w="0" w:type="auto"/>
        <w:tblInd w:w="360" w:type="dxa"/>
        <w:shd w:val="clear" w:color="auto" w:fill="F2F2F2" w:themeFill="background1" w:themeFillShade="F2"/>
        <w:tblLook w:val="04A0" w:firstRow="1" w:lastRow="0" w:firstColumn="1" w:lastColumn="0" w:noHBand="0" w:noVBand="1"/>
      </w:tblPr>
      <w:tblGrid>
        <w:gridCol w:w="3055"/>
        <w:gridCol w:w="5935"/>
      </w:tblGrid>
      <w:tr w:rsidR="00E5262B" w:rsidTr="00A571E4">
        <w:tc>
          <w:tcPr>
            <w:tcW w:w="3055" w:type="dxa"/>
            <w:shd w:val="clear" w:color="auto" w:fill="F2F2F2" w:themeFill="background1" w:themeFillShade="F2"/>
          </w:tcPr>
          <w:p w:rsidR="00E5262B" w:rsidRDefault="00E5262B" w:rsidP="008959FF">
            <w:pPr>
              <w:pStyle w:val="ListParagraph"/>
              <w:spacing w:after="0" w:line="240" w:lineRule="auto"/>
              <w:ind w:left="0"/>
              <w:rPr>
                <w:rFonts w:ascii="Times New Roman" w:hAnsi="Times New Roman"/>
                <w:sz w:val="24"/>
                <w:szCs w:val="24"/>
              </w:rPr>
            </w:pPr>
            <w:r>
              <w:rPr>
                <w:rFonts w:ascii="Times New Roman" w:hAnsi="Times New Roman"/>
                <w:sz w:val="24"/>
                <w:szCs w:val="24"/>
              </w:rPr>
              <w:t>Applicable Guidance Docs:</w:t>
            </w:r>
          </w:p>
        </w:tc>
        <w:tc>
          <w:tcPr>
            <w:tcW w:w="5935" w:type="dxa"/>
            <w:shd w:val="clear" w:color="auto" w:fill="F2F2F2" w:themeFill="background1" w:themeFillShade="F2"/>
          </w:tcPr>
          <w:p w:rsidR="00E5262B" w:rsidRDefault="005A51AE" w:rsidP="008959FF">
            <w:pPr>
              <w:pStyle w:val="ListParagraph"/>
              <w:spacing w:after="0" w:line="240" w:lineRule="auto"/>
              <w:ind w:left="0"/>
              <w:rPr>
                <w:rFonts w:ascii="Times New Roman" w:hAnsi="Times New Roman"/>
                <w:sz w:val="24"/>
                <w:szCs w:val="24"/>
              </w:rPr>
            </w:pPr>
            <w:r>
              <w:rPr>
                <w:rFonts w:ascii="Times New Roman" w:hAnsi="Times New Roman"/>
                <w:sz w:val="24"/>
                <w:szCs w:val="24"/>
              </w:rPr>
              <w:t>MSH and EPA’s BMP-BATT</w:t>
            </w:r>
          </w:p>
        </w:tc>
      </w:tr>
    </w:tbl>
    <w:p w:rsidR="00E5262B" w:rsidRPr="00E5262B" w:rsidRDefault="00E5262B" w:rsidP="007B44F8">
      <w:pPr>
        <w:pStyle w:val="ListParagraph"/>
        <w:spacing w:after="0" w:line="240" w:lineRule="auto"/>
        <w:ind w:left="360" w:hanging="360"/>
        <w:rPr>
          <w:rFonts w:ascii="Times New Roman" w:hAnsi="Times New Roman"/>
          <w:bCs/>
          <w:iCs/>
          <w:sz w:val="24"/>
          <w:szCs w:val="24"/>
        </w:rPr>
      </w:pPr>
    </w:p>
    <w:p w:rsidR="007B44F8" w:rsidRPr="00E01F99" w:rsidRDefault="007B44F8" w:rsidP="007B44F8">
      <w:pPr>
        <w:pStyle w:val="EAText"/>
      </w:pPr>
      <w:r w:rsidRPr="00E01F99">
        <w:t xml:space="preserve">Stormwater management systems on new developments shall be designed to meet an average annual pollutant load removal equivalent of 90% of the average annual load of TSS related to the total post-construction impervious area on the site AND 60% of the average annual load of TP related to the post-construction impervious area on the site. Pollutant removal must be calculated based on average annual loading and not the basis of any individual storm event. These requirements can be achieved through any of the following methods: </w:t>
      </w:r>
    </w:p>
    <w:p w:rsidR="007B44F8" w:rsidRDefault="007B44F8" w:rsidP="007B44F8">
      <w:pPr>
        <w:pStyle w:val="ListParagraph"/>
        <w:spacing w:after="0" w:line="240" w:lineRule="auto"/>
        <w:ind w:left="360" w:hanging="360"/>
        <w:rPr>
          <w:rFonts w:ascii="Times New Roman" w:hAnsi="Times New Roman"/>
          <w:b/>
          <w:bCs/>
          <w:i/>
          <w:iCs/>
          <w:sz w:val="24"/>
          <w:szCs w:val="24"/>
        </w:rPr>
      </w:pPr>
    </w:p>
    <w:p w:rsidR="007B44F8" w:rsidRPr="00E01F99" w:rsidRDefault="007B44F8" w:rsidP="007B44F8">
      <w:pPr>
        <w:pStyle w:val="EAText"/>
        <w:ind w:left="720" w:right="720"/>
        <w:rPr>
          <w:b/>
          <w:bCs/>
        </w:rPr>
      </w:pPr>
      <w:r w:rsidRPr="00E01F99">
        <w:rPr>
          <w:b/>
          <w:bCs/>
        </w:rPr>
        <w:t xml:space="preserve">Method 1 – </w:t>
      </w:r>
      <w:r w:rsidRPr="00E01F99">
        <w:t xml:space="preserve">Installing BMPs that meet the pollutant removal percentages based on calculations developed consistent with EPA Region 1’s </w:t>
      </w:r>
      <w:r w:rsidRPr="002A1351">
        <w:rPr>
          <w:u w:val="single"/>
        </w:rPr>
        <w:t>BMP Accounting and Tracking Tool</w:t>
      </w:r>
      <w:r w:rsidRPr="00E01F99">
        <w:t xml:space="preserve"> (2016) or other BMP performance evaluation tools provided by EPA Region 1, where available. If EPA Region 1 tools do not address the planned or installed BMP performance, then any federally or state-approved BMP design guidance or performance standard (such as the MSH) can be used to calculate BMP performance.</w:t>
      </w:r>
      <w:r w:rsidRPr="00E01F99">
        <w:rPr>
          <w:b/>
          <w:bCs/>
        </w:rPr>
        <w:t xml:space="preserve"> </w:t>
      </w:r>
    </w:p>
    <w:p w:rsidR="007B44F8" w:rsidRPr="00E01F99" w:rsidRDefault="007B44F8" w:rsidP="007B44F8">
      <w:pPr>
        <w:pStyle w:val="EAText"/>
        <w:ind w:left="720" w:right="720"/>
        <w:rPr>
          <w:b/>
          <w:bCs/>
        </w:rPr>
      </w:pPr>
      <w:r w:rsidRPr="00E01F99">
        <w:rPr>
          <w:b/>
          <w:bCs/>
        </w:rPr>
        <w:t xml:space="preserve">Method 2 – </w:t>
      </w:r>
      <w:r w:rsidRPr="00E01F99">
        <w:t xml:space="preserve">Retaining the volume of runoff equivalent to, or greater than, </w:t>
      </w:r>
      <w:r>
        <w:t>1</w:t>
      </w:r>
      <w:r w:rsidRPr="00E01F99">
        <w:t xml:space="preserve"> inch multiplied by the total post-construction impervious surface area on the site</w:t>
      </w:r>
      <w:r>
        <w:t xml:space="preserve">. </w:t>
      </w:r>
    </w:p>
    <w:p w:rsidR="007B44F8" w:rsidRPr="00E01F99" w:rsidRDefault="007B44F8" w:rsidP="007B44F8">
      <w:pPr>
        <w:pStyle w:val="EAText"/>
        <w:ind w:left="720" w:right="720"/>
        <w:rPr>
          <w:b/>
          <w:bCs/>
        </w:rPr>
      </w:pPr>
    </w:p>
    <w:p w:rsidR="007B44F8" w:rsidRPr="00E01F99" w:rsidRDefault="007B44F8" w:rsidP="007B44F8">
      <w:pPr>
        <w:pStyle w:val="EAText"/>
        <w:ind w:left="720" w:right="720"/>
        <w:rPr>
          <w:b/>
          <w:bCs/>
        </w:rPr>
      </w:pPr>
      <w:r w:rsidRPr="00E01F99">
        <w:rPr>
          <w:b/>
          <w:bCs/>
        </w:rPr>
        <w:t xml:space="preserve">Method 3 – </w:t>
      </w:r>
      <w:r w:rsidRPr="00E01F99">
        <w:t>Meeting a combination of retention and treatment that achieves the above standards.</w:t>
      </w:r>
      <w:r w:rsidRPr="00E01F99">
        <w:rPr>
          <w:b/>
          <w:bCs/>
        </w:rPr>
        <w:t xml:space="preserve"> </w:t>
      </w:r>
    </w:p>
    <w:p w:rsidR="007B44F8" w:rsidRPr="00E01F99" w:rsidRDefault="007B44F8" w:rsidP="007B44F8">
      <w:pPr>
        <w:pStyle w:val="EAText"/>
        <w:ind w:left="720" w:right="720"/>
        <w:rPr>
          <w:b/>
          <w:bCs/>
        </w:rPr>
      </w:pPr>
    </w:p>
    <w:p w:rsidR="007B44F8" w:rsidRDefault="007B44F8" w:rsidP="007B44F8">
      <w:pPr>
        <w:pStyle w:val="EAText"/>
        <w:ind w:left="720" w:right="720"/>
        <w:rPr>
          <w:b/>
          <w:bCs/>
        </w:rPr>
      </w:pPr>
      <w:r w:rsidRPr="00E01F99">
        <w:rPr>
          <w:b/>
          <w:bCs/>
        </w:rPr>
        <w:t xml:space="preserve">Method 4 – </w:t>
      </w:r>
      <w:r w:rsidRPr="00E01F99">
        <w:t>Utilized offsite mitigation that meets the above standards within the same USGS HUC12 watershed area.</w:t>
      </w:r>
      <w:r w:rsidRPr="00E01F99">
        <w:rPr>
          <w:b/>
          <w:bCs/>
        </w:rPr>
        <w:t xml:space="preserve"> </w:t>
      </w:r>
    </w:p>
    <w:p w:rsidR="007B44F8" w:rsidRDefault="007B44F8" w:rsidP="007B44F8">
      <w:pPr>
        <w:pStyle w:val="EAText"/>
        <w:ind w:right="720"/>
        <w:rPr>
          <w:b/>
          <w:bCs/>
        </w:rPr>
      </w:pPr>
    </w:p>
    <w:p w:rsidR="007B44F8" w:rsidRDefault="007B44F8" w:rsidP="007B44F8">
      <w:pPr>
        <w:pStyle w:val="EAText"/>
        <w:ind w:right="720"/>
      </w:pPr>
      <w:r w:rsidRPr="00E01F99">
        <w:t xml:space="preserve">Compliance with this requirement and the backup calculations must be documented in the design report. </w:t>
      </w:r>
    </w:p>
    <w:p w:rsidR="007B44F8" w:rsidRDefault="007B44F8" w:rsidP="007B44F8">
      <w:pPr>
        <w:pStyle w:val="EAText"/>
        <w:ind w:right="720"/>
      </w:pPr>
    </w:p>
    <w:p w:rsidR="007B44F8" w:rsidRDefault="00350D14" w:rsidP="007B44F8">
      <w:pPr>
        <w:pStyle w:val="ListParagraph"/>
        <w:spacing w:after="0" w:line="240" w:lineRule="auto"/>
        <w:ind w:left="360" w:hanging="360"/>
        <w:rPr>
          <w:rFonts w:ascii="Times New Roman" w:hAnsi="Times New Roman"/>
          <w:b/>
          <w:bCs/>
          <w:i/>
          <w:iCs/>
          <w:sz w:val="24"/>
          <w:szCs w:val="24"/>
        </w:rPr>
      </w:pPr>
      <w:r>
        <w:rPr>
          <w:rFonts w:ascii="Times New Roman" w:hAnsi="Times New Roman"/>
          <w:b/>
          <w:bCs/>
          <w:i/>
          <w:iCs/>
          <w:sz w:val="24"/>
          <w:szCs w:val="24"/>
        </w:rPr>
        <w:t xml:space="preserve">Permit </w:t>
      </w:r>
      <w:r w:rsidR="007B44F8" w:rsidRPr="00563FD9">
        <w:rPr>
          <w:rFonts w:ascii="Times New Roman" w:hAnsi="Times New Roman"/>
          <w:b/>
          <w:bCs/>
          <w:i/>
          <w:iCs/>
          <w:sz w:val="24"/>
          <w:szCs w:val="24"/>
        </w:rPr>
        <w:t xml:space="preserve">Requirement </w:t>
      </w:r>
      <w:r w:rsidR="007B44F8">
        <w:rPr>
          <w:rFonts w:ascii="Times New Roman" w:hAnsi="Times New Roman"/>
          <w:b/>
          <w:bCs/>
          <w:i/>
          <w:iCs/>
          <w:sz w:val="24"/>
          <w:szCs w:val="24"/>
        </w:rPr>
        <w:t>4</w:t>
      </w:r>
      <w:r w:rsidR="007B44F8" w:rsidRPr="00563FD9">
        <w:rPr>
          <w:rFonts w:ascii="Times New Roman" w:hAnsi="Times New Roman"/>
          <w:b/>
          <w:bCs/>
          <w:i/>
          <w:iCs/>
          <w:sz w:val="24"/>
          <w:szCs w:val="24"/>
        </w:rPr>
        <w:t xml:space="preserve"> – </w:t>
      </w:r>
      <w:r w:rsidR="007B44F8" w:rsidRPr="005A51AE">
        <w:rPr>
          <w:rFonts w:ascii="Times New Roman" w:hAnsi="Times New Roman"/>
          <w:b/>
          <w:bCs/>
          <w:i/>
          <w:iCs/>
          <w:color w:val="FF0000"/>
          <w:sz w:val="24"/>
          <w:szCs w:val="24"/>
        </w:rPr>
        <w:t>Re</w:t>
      </w:r>
      <w:r w:rsidR="007B44F8">
        <w:rPr>
          <w:rFonts w:ascii="Times New Roman" w:hAnsi="Times New Roman"/>
          <w:b/>
          <w:bCs/>
          <w:i/>
          <w:iCs/>
          <w:sz w:val="24"/>
          <w:szCs w:val="24"/>
        </w:rPr>
        <w:t>d</w:t>
      </w:r>
      <w:r w:rsidR="007B44F8" w:rsidRPr="00563FD9">
        <w:rPr>
          <w:rFonts w:ascii="Times New Roman" w:hAnsi="Times New Roman"/>
          <w:b/>
          <w:bCs/>
          <w:i/>
          <w:iCs/>
          <w:sz w:val="24"/>
          <w:szCs w:val="24"/>
        </w:rPr>
        <w:t>evelopment TSS and TP Removal Requirements</w:t>
      </w:r>
    </w:p>
    <w:tbl>
      <w:tblPr>
        <w:tblStyle w:val="TableGrid"/>
        <w:tblW w:w="0" w:type="auto"/>
        <w:tblInd w:w="360" w:type="dxa"/>
        <w:shd w:val="clear" w:color="auto" w:fill="F2F2F2" w:themeFill="background1" w:themeFillShade="F2"/>
        <w:tblLook w:val="04A0" w:firstRow="1" w:lastRow="0" w:firstColumn="1" w:lastColumn="0" w:noHBand="0" w:noVBand="1"/>
      </w:tblPr>
      <w:tblGrid>
        <w:gridCol w:w="3055"/>
        <w:gridCol w:w="5935"/>
      </w:tblGrid>
      <w:tr w:rsidR="00E5262B" w:rsidTr="005A51AE">
        <w:tc>
          <w:tcPr>
            <w:tcW w:w="3055" w:type="dxa"/>
            <w:shd w:val="clear" w:color="auto" w:fill="F2F2F2" w:themeFill="background1" w:themeFillShade="F2"/>
          </w:tcPr>
          <w:p w:rsidR="00E5262B" w:rsidRDefault="00E5262B" w:rsidP="008959FF">
            <w:pPr>
              <w:pStyle w:val="ListParagraph"/>
              <w:spacing w:after="0" w:line="240" w:lineRule="auto"/>
              <w:ind w:left="0"/>
              <w:rPr>
                <w:rFonts w:ascii="Times New Roman" w:hAnsi="Times New Roman"/>
                <w:sz w:val="24"/>
                <w:szCs w:val="24"/>
              </w:rPr>
            </w:pPr>
            <w:r>
              <w:rPr>
                <w:rFonts w:ascii="Times New Roman" w:hAnsi="Times New Roman"/>
                <w:sz w:val="24"/>
                <w:szCs w:val="24"/>
              </w:rPr>
              <w:t>Applicable Guidance Docs:</w:t>
            </w:r>
          </w:p>
        </w:tc>
        <w:tc>
          <w:tcPr>
            <w:tcW w:w="5935" w:type="dxa"/>
            <w:shd w:val="clear" w:color="auto" w:fill="F2F2F2" w:themeFill="background1" w:themeFillShade="F2"/>
          </w:tcPr>
          <w:p w:rsidR="00E5262B" w:rsidRDefault="005A51AE" w:rsidP="008959FF">
            <w:pPr>
              <w:pStyle w:val="ListParagraph"/>
              <w:spacing w:after="0" w:line="240" w:lineRule="auto"/>
              <w:ind w:left="0"/>
              <w:rPr>
                <w:rFonts w:ascii="Times New Roman" w:hAnsi="Times New Roman"/>
                <w:sz w:val="24"/>
                <w:szCs w:val="24"/>
              </w:rPr>
            </w:pPr>
            <w:r>
              <w:rPr>
                <w:rFonts w:ascii="Times New Roman" w:hAnsi="Times New Roman"/>
                <w:sz w:val="24"/>
                <w:szCs w:val="24"/>
              </w:rPr>
              <w:t>MSH and EPA’s BMP-BATT</w:t>
            </w:r>
          </w:p>
        </w:tc>
      </w:tr>
    </w:tbl>
    <w:p w:rsidR="007B44F8" w:rsidRDefault="007B44F8" w:rsidP="007B44F8">
      <w:pPr>
        <w:pStyle w:val="EAText"/>
        <w:ind w:right="720"/>
      </w:pPr>
    </w:p>
    <w:p w:rsidR="007B44F8" w:rsidRPr="00E01F99" w:rsidRDefault="007B44F8" w:rsidP="007B44F8">
      <w:pPr>
        <w:pStyle w:val="EAText"/>
      </w:pPr>
      <w:r w:rsidRPr="00E01F99">
        <w:t xml:space="preserve">Stormwater management systems on </w:t>
      </w:r>
      <w:r>
        <w:t>red</w:t>
      </w:r>
      <w:r w:rsidRPr="00E01F99">
        <w:t>evelopment</w:t>
      </w:r>
      <w:r>
        <w:t xml:space="preserve"> sites</w:t>
      </w:r>
      <w:r w:rsidRPr="00E01F99">
        <w:t xml:space="preserve"> shall be designed to meet an average annual pollutant load removal equivalent of </w:t>
      </w:r>
      <w:r>
        <w:t>8</w:t>
      </w:r>
      <w:r w:rsidRPr="00E01F99">
        <w:t xml:space="preserve">0% of the average annual load of TSS related to the total post-construction impervious area on the site AND </w:t>
      </w:r>
      <w:r>
        <w:t>5</w:t>
      </w:r>
      <w:r w:rsidRPr="00E01F99">
        <w:t xml:space="preserve">0% of the average annual load of TP related to the post-construction impervious area on the site. Pollutant removal must be calculated based on average annual loading and not the basis of any individual storm event. These requirements can be achieved through any of the following methods: </w:t>
      </w:r>
    </w:p>
    <w:p w:rsidR="007B44F8" w:rsidRPr="00E01F99" w:rsidRDefault="007B44F8" w:rsidP="007B44F8">
      <w:pPr>
        <w:pStyle w:val="EAText"/>
        <w:ind w:right="720"/>
      </w:pPr>
    </w:p>
    <w:p w:rsidR="007B44F8" w:rsidRDefault="007B44F8" w:rsidP="007B44F8">
      <w:pPr>
        <w:pStyle w:val="EAText"/>
        <w:ind w:left="720" w:right="720"/>
        <w:rPr>
          <w:b/>
          <w:bCs/>
        </w:rPr>
      </w:pPr>
      <w:r w:rsidRPr="00E01F99">
        <w:rPr>
          <w:b/>
          <w:bCs/>
        </w:rPr>
        <w:t xml:space="preserve">Method 1 – </w:t>
      </w:r>
      <w:r w:rsidRPr="00E01F99">
        <w:t>Installing BMPs that meet the pollutant removal percentages based on calculations developed consistent with EPA Region 1’s BMP Accounting and Tracking Tool (2016) or other BMP performance evaluation tools provided by EPA Region 1, where available. If EPA Region 1 tools do not address the planned or installed BMP performance, then any federally or state-approved BMP design guidance or performance standard (such as the MSH) can be used to calculate BMP performance.</w:t>
      </w:r>
      <w:r w:rsidRPr="00E01F99">
        <w:rPr>
          <w:b/>
          <w:bCs/>
        </w:rPr>
        <w:t xml:space="preserve"> </w:t>
      </w:r>
    </w:p>
    <w:p w:rsidR="007B44F8" w:rsidRPr="00E01F99" w:rsidRDefault="007B44F8" w:rsidP="007B44F8">
      <w:pPr>
        <w:pStyle w:val="EAText"/>
        <w:ind w:left="720" w:right="720"/>
        <w:rPr>
          <w:b/>
          <w:bCs/>
        </w:rPr>
      </w:pPr>
    </w:p>
    <w:p w:rsidR="007B44F8" w:rsidRPr="00E01F99" w:rsidRDefault="007B44F8" w:rsidP="007B44F8">
      <w:pPr>
        <w:pStyle w:val="EAText"/>
        <w:ind w:left="720" w:right="720"/>
        <w:rPr>
          <w:b/>
          <w:bCs/>
        </w:rPr>
      </w:pPr>
      <w:r w:rsidRPr="00E01F99">
        <w:rPr>
          <w:b/>
          <w:bCs/>
        </w:rPr>
        <w:t xml:space="preserve">Method 2 – </w:t>
      </w:r>
      <w:r w:rsidRPr="00E01F99">
        <w:t xml:space="preserve">Retaining the volume of runoff equivalent to, or greater than, </w:t>
      </w:r>
      <w:r>
        <w:t>0.8</w:t>
      </w:r>
      <w:r w:rsidRPr="00E01F99">
        <w:t xml:space="preserve"> inch</w:t>
      </w:r>
      <w:r>
        <w:t>es</w:t>
      </w:r>
      <w:r w:rsidRPr="00E01F99">
        <w:t xml:space="preserve"> multiplied by the total post-construction impervious surface area on the site</w:t>
      </w:r>
      <w:r>
        <w:t xml:space="preserve">. </w:t>
      </w:r>
    </w:p>
    <w:p w:rsidR="007B44F8" w:rsidRPr="00E01F99" w:rsidRDefault="007B44F8" w:rsidP="007B44F8">
      <w:pPr>
        <w:pStyle w:val="EAText"/>
        <w:ind w:left="720" w:right="720"/>
        <w:rPr>
          <w:b/>
          <w:bCs/>
        </w:rPr>
      </w:pPr>
    </w:p>
    <w:p w:rsidR="007B44F8" w:rsidRPr="00E01F99" w:rsidRDefault="007B44F8" w:rsidP="007B44F8">
      <w:pPr>
        <w:pStyle w:val="EAText"/>
        <w:ind w:left="720" w:right="720"/>
        <w:rPr>
          <w:b/>
          <w:bCs/>
        </w:rPr>
      </w:pPr>
      <w:r w:rsidRPr="00E01F99">
        <w:rPr>
          <w:b/>
          <w:bCs/>
        </w:rPr>
        <w:t xml:space="preserve">Method 3 – </w:t>
      </w:r>
      <w:r w:rsidRPr="00E01F99">
        <w:t>Meeting a combination of retention and treatment that achieves the above standards.</w:t>
      </w:r>
      <w:r w:rsidRPr="00E01F99">
        <w:rPr>
          <w:b/>
          <w:bCs/>
        </w:rPr>
        <w:t xml:space="preserve"> </w:t>
      </w:r>
    </w:p>
    <w:p w:rsidR="007B44F8" w:rsidRPr="00E01F99" w:rsidRDefault="007B44F8" w:rsidP="007B44F8">
      <w:pPr>
        <w:pStyle w:val="EAText"/>
        <w:ind w:left="720" w:right="720"/>
        <w:rPr>
          <w:b/>
          <w:bCs/>
        </w:rPr>
      </w:pPr>
    </w:p>
    <w:p w:rsidR="007B44F8" w:rsidRDefault="007B44F8" w:rsidP="007B44F8">
      <w:pPr>
        <w:pStyle w:val="EAText"/>
        <w:ind w:left="720" w:right="720"/>
        <w:rPr>
          <w:b/>
          <w:bCs/>
        </w:rPr>
      </w:pPr>
      <w:r w:rsidRPr="00E01F99">
        <w:rPr>
          <w:b/>
          <w:bCs/>
        </w:rPr>
        <w:t xml:space="preserve">Method 4 – </w:t>
      </w:r>
      <w:r w:rsidRPr="00E01F99">
        <w:t>Utilized offsite mitigation that meets the above standards within the same USGS HUC12 watershed area.</w:t>
      </w:r>
      <w:r w:rsidRPr="00E01F99">
        <w:rPr>
          <w:b/>
          <w:bCs/>
        </w:rPr>
        <w:t xml:space="preserve"> </w:t>
      </w:r>
    </w:p>
    <w:p w:rsidR="007B44F8" w:rsidRDefault="007B44F8" w:rsidP="007B44F8">
      <w:pPr>
        <w:pStyle w:val="EAText"/>
        <w:ind w:right="720"/>
        <w:rPr>
          <w:b/>
          <w:bCs/>
        </w:rPr>
      </w:pPr>
    </w:p>
    <w:p w:rsidR="007B44F8" w:rsidRDefault="007B44F8" w:rsidP="007B44F8">
      <w:pPr>
        <w:pStyle w:val="EAText"/>
        <w:ind w:right="720"/>
      </w:pPr>
      <w:r w:rsidRPr="00E01F99">
        <w:t xml:space="preserve">Compliance with this requirement and the backup calculations must be documented in the design report. </w:t>
      </w:r>
    </w:p>
    <w:p w:rsidR="007B44F8" w:rsidRDefault="007B44F8" w:rsidP="007B44F8">
      <w:pPr>
        <w:pStyle w:val="EAText"/>
        <w:ind w:right="720"/>
        <w:rPr>
          <w:b/>
          <w:bCs/>
        </w:rPr>
      </w:pPr>
    </w:p>
    <w:p w:rsidR="007B44F8" w:rsidRPr="00E01F99" w:rsidRDefault="007B44F8" w:rsidP="007B44F8">
      <w:pPr>
        <w:pStyle w:val="EAText"/>
        <w:ind w:right="720"/>
      </w:pPr>
      <w:r w:rsidRPr="003B7B19">
        <w:rPr>
          <w:i/>
          <w:iCs/>
          <w:highlight w:val="yellow"/>
        </w:rPr>
        <w:t>Special Exemption:</w:t>
      </w:r>
      <w:r w:rsidRPr="003B7B19">
        <w:rPr>
          <w:highlight w:val="yellow"/>
        </w:rPr>
        <w:t xml:space="preserve"> This requirement is not applicable to redevelopment activities that are exclusively limited to maintenance and improvement of existing roadways (including widening less than a single lane, adding shoulders, correcting substandard intersections, improving existing drainage systems, and repaving projects). These projects shall improve existing conditions unless infeasible. Roadway widening or improvements that increase the amount of impervious area on the redevelopment site by greater than or equal to a single lane width shall meet this requirement.</w:t>
      </w:r>
      <w:r w:rsidRPr="00E01F99">
        <w:t xml:space="preserve"> </w:t>
      </w:r>
    </w:p>
    <w:p w:rsidR="007B44F8" w:rsidRDefault="007B44F8" w:rsidP="007B44F8">
      <w:pPr>
        <w:pStyle w:val="EAText"/>
        <w:ind w:right="720"/>
        <w:rPr>
          <w:b/>
          <w:bCs/>
        </w:rPr>
      </w:pPr>
    </w:p>
    <w:p w:rsidR="007B44F8" w:rsidRPr="00350D14" w:rsidRDefault="00350D14" w:rsidP="007B44F8">
      <w:pPr>
        <w:pStyle w:val="EAText"/>
        <w:ind w:right="720"/>
        <w:rPr>
          <w:b/>
          <w:bCs/>
          <w:i/>
        </w:rPr>
      </w:pPr>
      <w:r w:rsidRPr="00350D14">
        <w:rPr>
          <w:b/>
          <w:bCs/>
          <w:i/>
        </w:rPr>
        <w:t xml:space="preserve">Permit </w:t>
      </w:r>
      <w:r w:rsidR="007B44F8" w:rsidRPr="00350D14">
        <w:rPr>
          <w:b/>
          <w:bCs/>
          <w:i/>
        </w:rPr>
        <w:t>Requirement 5 – Stormwater Management Systems Optimized for Nitrogen Removal</w:t>
      </w:r>
    </w:p>
    <w:tbl>
      <w:tblPr>
        <w:tblStyle w:val="TableGrid"/>
        <w:tblW w:w="0" w:type="auto"/>
        <w:tblInd w:w="360" w:type="dxa"/>
        <w:shd w:val="clear" w:color="auto" w:fill="F2F2F2" w:themeFill="background1" w:themeFillShade="F2"/>
        <w:tblLook w:val="04A0" w:firstRow="1" w:lastRow="0" w:firstColumn="1" w:lastColumn="0" w:noHBand="0" w:noVBand="1"/>
      </w:tblPr>
      <w:tblGrid>
        <w:gridCol w:w="4508"/>
        <w:gridCol w:w="4482"/>
      </w:tblGrid>
      <w:tr w:rsidR="00E5262B" w:rsidTr="008959FF">
        <w:tc>
          <w:tcPr>
            <w:tcW w:w="4675" w:type="dxa"/>
            <w:shd w:val="clear" w:color="auto" w:fill="F2F2F2" w:themeFill="background1" w:themeFillShade="F2"/>
          </w:tcPr>
          <w:p w:rsidR="00E5262B" w:rsidRDefault="00E5262B" w:rsidP="008959FF">
            <w:pPr>
              <w:pStyle w:val="ListParagraph"/>
              <w:spacing w:after="0" w:line="240" w:lineRule="auto"/>
              <w:ind w:left="0"/>
              <w:rPr>
                <w:rFonts w:ascii="Times New Roman" w:hAnsi="Times New Roman"/>
                <w:sz w:val="24"/>
                <w:szCs w:val="24"/>
              </w:rPr>
            </w:pPr>
            <w:r>
              <w:rPr>
                <w:rFonts w:ascii="Times New Roman" w:hAnsi="Times New Roman"/>
                <w:sz w:val="24"/>
                <w:szCs w:val="24"/>
              </w:rPr>
              <w:t>Applicable Guidance Docs:</w:t>
            </w:r>
          </w:p>
        </w:tc>
        <w:tc>
          <w:tcPr>
            <w:tcW w:w="4675" w:type="dxa"/>
            <w:shd w:val="clear" w:color="auto" w:fill="F2F2F2" w:themeFill="background1" w:themeFillShade="F2"/>
          </w:tcPr>
          <w:p w:rsidR="00E5262B" w:rsidRDefault="005A51AE" w:rsidP="008959FF">
            <w:pPr>
              <w:pStyle w:val="ListParagraph"/>
              <w:spacing w:after="0" w:line="240" w:lineRule="auto"/>
              <w:ind w:left="0"/>
              <w:rPr>
                <w:rFonts w:ascii="Times New Roman" w:hAnsi="Times New Roman"/>
                <w:sz w:val="24"/>
                <w:szCs w:val="24"/>
              </w:rPr>
            </w:pPr>
            <w:r>
              <w:rPr>
                <w:rFonts w:ascii="Times New Roman" w:hAnsi="Times New Roman"/>
                <w:sz w:val="24"/>
                <w:szCs w:val="24"/>
              </w:rPr>
              <w:t>MSH</w:t>
            </w:r>
          </w:p>
        </w:tc>
      </w:tr>
    </w:tbl>
    <w:p w:rsidR="007B44F8" w:rsidRDefault="007B44F8" w:rsidP="007B44F8">
      <w:pPr>
        <w:pStyle w:val="EAText"/>
        <w:ind w:right="720"/>
        <w:rPr>
          <w:b/>
          <w:bCs/>
        </w:rPr>
      </w:pPr>
    </w:p>
    <w:p w:rsidR="007B44F8" w:rsidRDefault="007B44F8" w:rsidP="00C46813">
      <w:pPr>
        <w:pStyle w:val="EAText"/>
        <w:ind w:right="720"/>
      </w:pPr>
      <w:r w:rsidRPr="00E26C5B">
        <w:t>New development and redevelopment site stormwater management BMPs shall be optimized for nitrogen removal. This can be achieved by utilizing BMPs identified by the MSH as able to remove nitrogen. The design report shall include calculations for BMP nitrogen removal efficiencies.</w:t>
      </w:r>
      <w:r>
        <w:rPr>
          <w:b/>
          <w:bCs/>
        </w:rPr>
        <w:t xml:space="preserve"> </w:t>
      </w:r>
    </w:p>
    <w:sectPr w:rsidR="007B44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3C2" w:rsidRDefault="00BA13C2" w:rsidP="006D5869">
      <w:pPr>
        <w:spacing w:after="0" w:line="240" w:lineRule="auto"/>
      </w:pPr>
      <w:r>
        <w:separator/>
      </w:r>
    </w:p>
  </w:endnote>
  <w:endnote w:type="continuationSeparator" w:id="0">
    <w:p w:rsidR="00BA13C2" w:rsidRDefault="00BA13C2" w:rsidP="006D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3C2" w:rsidRDefault="00BA13C2" w:rsidP="006D5869">
      <w:pPr>
        <w:spacing w:after="0" w:line="240" w:lineRule="auto"/>
      </w:pPr>
      <w:r>
        <w:separator/>
      </w:r>
    </w:p>
  </w:footnote>
  <w:footnote w:type="continuationSeparator" w:id="0">
    <w:p w:rsidR="00BA13C2" w:rsidRDefault="00BA13C2" w:rsidP="006D5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69" w:rsidRDefault="006D5869" w:rsidP="00C46813">
    <w:pPr>
      <w:spacing w:after="0" w:line="240" w:lineRule="auto"/>
      <w:jc w:val="center"/>
    </w:pPr>
    <w:r>
      <w:t>ATTACHMENT 1</w:t>
    </w:r>
  </w:p>
  <w:p w:rsidR="006111D5" w:rsidRDefault="006111D5" w:rsidP="00C46813">
    <w:pPr>
      <w:spacing w:after="0" w:line="240" w:lineRule="auto"/>
      <w:jc w:val="center"/>
      <w:rPr>
        <w:b/>
        <w:sz w:val="24"/>
        <w:szCs w:val="24"/>
      </w:rPr>
    </w:pPr>
    <w:r>
      <w:rPr>
        <w:b/>
        <w:sz w:val="24"/>
        <w:szCs w:val="24"/>
      </w:rPr>
      <w:t xml:space="preserve">Information Sheet for Westover Policy on </w:t>
    </w:r>
    <w:r w:rsidR="006D5869" w:rsidRPr="006D5869">
      <w:rPr>
        <w:b/>
        <w:sz w:val="24"/>
        <w:szCs w:val="24"/>
      </w:rPr>
      <w:t>Stormwater Management</w:t>
    </w:r>
    <w:r>
      <w:rPr>
        <w:b/>
        <w:sz w:val="24"/>
        <w:szCs w:val="24"/>
      </w:rPr>
      <w:t xml:space="preserve"> System Designs</w:t>
    </w:r>
  </w:p>
  <w:p w:rsidR="00C46813" w:rsidRPr="00C46813" w:rsidRDefault="006111D5" w:rsidP="006111D5">
    <w:pPr>
      <w:spacing w:after="0" w:line="240" w:lineRule="auto"/>
      <w:jc w:val="center"/>
      <w:rPr>
        <w:sz w:val="24"/>
        <w:szCs w:val="24"/>
      </w:rPr>
    </w:pPr>
    <w:r w:rsidRPr="00C46813">
      <w:rPr>
        <w:bCs/>
        <w:sz w:val="24"/>
        <w:szCs w:val="24"/>
      </w:rPr>
      <w:t xml:space="preserve">439 </w:t>
    </w:r>
    <w:r>
      <w:rPr>
        <w:bCs/>
        <w:sz w:val="24"/>
        <w:szCs w:val="24"/>
      </w:rPr>
      <w:t>CE</w:t>
    </w:r>
    <w:r w:rsidRPr="00C46813">
      <w:rPr>
        <w:bCs/>
        <w:sz w:val="24"/>
        <w:szCs w:val="24"/>
      </w:rPr>
      <w:t>/CEV Environmental Office</w:t>
    </w:r>
    <w:r>
      <w:rPr>
        <w:bCs/>
        <w:sz w:val="24"/>
        <w:szCs w:val="24"/>
      </w:rPr>
      <w:t>,</w:t>
    </w:r>
    <w:r w:rsidRPr="00E5262B">
      <w:rPr>
        <w:b/>
        <w:sz w:val="24"/>
        <w:szCs w:val="24"/>
      </w:rPr>
      <w:t xml:space="preserve"> </w:t>
    </w:r>
    <w:r w:rsidR="00E5262B" w:rsidRPr="00E5262B">
      <w:rPr>
        <w:b/>
        <w:sz w:val="24"/>
        <w:szCs w:val="24"/>
      </w:rPr>
      <w:t xml:space="preserve">Page </w:t>
    </w:r>
    <w:r w:rsidR="00E5262B" w:rsidRPr="00E5262B">
      <w:rPr>
        <w:b/>
        <w:bCs/>
        <w:sz w:val="24"/>
        <w:szCs w:val="24"/>
      </w:rPr>
      <w:fldChar w:fldCharType="begin"/>
    </w:r>
    <w:r w:rsidR="00E5262B" w:rsidRPr="00E5262B">
      <w:rPr>
        <w:b/>
        <w:bCs/>
        <w:sz w:val="24"/>
        <w:szCs w:val="24"/>
      </w:rPr>
      <w:instrText xml:space="preserve"> PAGE  \* Arabic  \* MERGEFORMAT </w:instrText>
    </w:r>
    <w:r w:rsidR="00E5262B" w:rsidRPr="00E5262B">
      <w:rPr>
        <w:b/>
        <w:bCs/>
        <w:sz w:val="24"/>
        <w:szCs w:val="24"/>
      </w:rPr>
      <w:fldChar w:fldCharType="separate"/>
    </w:r>
    <w:r>
      <w:rPr>
        <w:b/>
        <w:bCs/>
        <w:noProof/>
        <w:sz w:val="24"/>
        <w:szCs w:val="24"/>
      </w:rPr>
      <w:t>1</w:t>
    </w:r>
    <w:r w:rsidR="00E5262B" w:rsidRPr="00E5262B">
      <w:rPr>
        <w:b/>
        <w:bCs/>
        <w:sz w:val="24"/>
        <w:szCs w:val="24"/>
      </w:rPr>
      <w:fldChar w:fldCharType="end"/>
    </w:r>
    <w:r w:rsidR="00E5262B" w:rsidRPr="00E5262B">
      <w:rPr>
        <w:b/>
        <w:sz w:val="24"/>
        <w:szCs w:val="24"/>
      </w:rPr>
      <w:t xml:space="preserve"> of </w:t>
    </w:r>
    <w:r w:rsidR="00E5262B" w:rsidRPr="00E5262B">
      <w:rPr>
        <w:b/>
        <w:bCs/>
        <w:sz w:val="24"/>
        <w:szCs w:val="24"/>
      </w:rPr>
      <w:fldChar w:fldCharType="begin"/>
    </w:r>
    <w:r w:rsidR="00E5262B" w:rsidRPr="00E5262B">
      <w:rPr>
        <w:b/>
        <w:bCs/>
        <w:sz w:val="24"/>
        <w:szCs w:val="24"/>
      </w:rPr>
      <w:instrText xml:space="preserve"> NUMPAGES  \* Arabic  \* MERGEFORMAT </w:instrText>
    </w:r>
    <w:r w:rsidR="00E5262B" w:rsidRPr="00E5262B">
      <w:rPr>
        <w:b/>
        <w:bCs/>
        <w:sz w:val="24"/>
        <w:szCs w:val="24"/>
      </w:rPr>
      <w:fldChar w:fldCharType="separate"/>
    </w:r>
    <w:r>
      <w:rPr>
        <w:b/>
        <w:bCs/>
        <w:noProof/>
        <w:sz w:val="24"/>
        <w:szCs w:val="24"/>
      </w:rPr>
      <w:t>5</w:t>
    </w:r>
    <w:r w:rsidR="00E5262B" w:rsidRPr="00E5262B">
      <w:rPr>
        <w:b/>
        <w:bCs/>
        <w:sz w:val="24"/>
        <w:szCs w:val="24"/>
      </w:rPr>
      <w:fldChar w:fldCharType="end"/>
    </w:r>
  </w:p>
  <w:p w:rsidR="006D5869" w:rsidRDefault="006D5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7FFD"/>
    <w:multiLevelType w:val="hybridMultilevel"/>
    <w:tmpl w:val="2CEC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31DC9"/>
    <w:multiLevelType w:val="multilevel"/>
    <w:tmpl w:val="8F42635C"/>
    <w:lvl w:ilvl="0">
      <w:start w:val="1"/>
      <w:numFmt w:val="decimal"/>
      <w:pStyle w:val="Heading1"/>
      <w:lvlText w:val="%1."/>
      <w:lvlJc w:val="left"/>
      <w:pPr>
        <w:ind w:left="360" w:hanging="360"/>
      </w:pPr>
      <w:rPr>
        <w:sz w:val="24"/>
        <w:szCs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37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4F8"/>
    <w:rsid w:val="000852C0"/>
    <w:rsid w:val="000E06EA"/>
    <w:rsid w:val="00125774"/>
    <w:rsid w:val="002A1351"/>
    <w:rsid w:val="002E700C"/>
    <w:rsid w:val="00350D14"/>
    <w:rsid w:val="003B7B19"/>
    <w:rsid w:val="00492D44"/>
    <w:rsid w:val="00576ACE"/>
    <w:rsid w:val="00592EED"/>
    <w:rsid w:val="005A51AE"/>
    <w:rsid w:val="005C4536"/>
    <w:rsid w:val="006111D5"/>
    <w:rsid w:val="006D5869"/>
    <w:rsid w:val="00737616"/>
    <w:rsid w:val="007B44F8"/>
    <w:rsid w:val="00A571E4"/>
    <w:rsid w:val="00AF2801"/>
    <w:rsid w:val="00BA13C2"/>
    <w:rsid w:val="00C46813"/>
    <w:rsid w:val="00DA1C83"/>
    <w:rsid w:val="00E45253"/>
    <w:rsid w:val="00E4627F"/>
    <w:rsid w:val="00E5262B"/>
    <w:rsid w:val="00EC70B5"/>
    <w:rsid w:val="00EF6FE0"/>
    <w:rsid w:val="00EF7755"/>
    <w:rsid w:val="00FA3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1E8D"/>
  <w15:chartTrackingRefBased/>
  <w15:docId w15:val="{AE02F657-4FDE-4948-A745-C2B6E5E2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EA Heading 1"/>
    <w:basedOn w:val="Normal"/>
    <w:next w:val="Normal"/>
    <w:link w:val="Heading1Char"/>
    <w:uiPriority w:val="9"/>
    <w:qFormat/>
    <w:rsid w:val="007B44F8"/>
    <w:pPr>
      <w:keepNext/>
      <w:keepLines/>
      <w:numPr>
        <w:numId w:val="1"/>
      </w:numPr>
      <w:spacing w:after="240" w:line="240" w:lineRule="auto"/>
      <w:jc w:val="center"/>
      <w:outlineLvl w:val="0"/>
    </w:pPr>
    <w:rPr>
      <w:rFonts w:ascii="Times New Roman Bold" w:eastAsia="Times New Roman" w:hAnsi="Times New Roman Bold" w:cs="Times New Roman"/>
      <w:b/>
      <w:sz w:val="24"/>
      <w:szCs w:val="28"/>
    </w:rPr>
  </w:style>
  <w:style w:type="paragraph" w:styleId="Heading2">
    <w:name w:val="heading 2"/>
    <w:aliases w:val="EA Heading 2"/>
    <w:basedOn w:val="Normal"/>
    <w:next w:val="Normal"/>
    <w:link w:val="Heading2Char"/>
    <w:uiPriority w:val="9"/>
    <w:unhideWhenUsed/>
    <w:qFormat/>
    <w:rsid w:val="007B44F8"/>
    <w:pPr>
      <w:keepNext/>
      <w:keepLines/>
      <w:numPr>
        <w:ilvl w:val="1"/>
        <w:numId w:val="1"/>
      </w:numPr>
      <w:tabs>
        <w:tab w:val="left" w:pos="720"/>
      </w:tabs>
      <w:spacing w:after="240" w:line="240" w:lineRule="auto"/>
      <w:outlineLvl w:val="1"/>
    </w:pPr>
    <w:rPr>
      <w:rFonts w:ascii="Times New Roman Bold" w:eastAsia="Times New Roman" w:hAnsi="Times New Roman Bold" w:cs="Times New Roman"/>
      <w:b/>
      <w:caps/>
      <w:sz w:val="24"/>
      <w:szCs w:val="26"/>
    </w:rPr>
  </w:style>
  <w:style w:type="paragraph" w:styleId="Heading3">
    <w:name w:val="heading 3"/>
    <w:aliases w:val="EA Heading 3"/>
    <w:basedOn w:val="Normal"/>
    <w:next w:val="Normal"/>
    <w:link w:val="Heading3Char"/>
    <w:uiPriority w:val="9"/>
    <w:unhideWhenUsed/>
    <w:qFormat/>
    <w:rsid w:val="007B44F8"/>
    <w:pPr>
      <w:keepNext/>
      <w:keepLines/>
      <w:numPr>
        <w:ilvl w:val="2"/>
        <w:numId w:val="1"/>
      </w:numPr>
      <w:tabs>
        <w:tab w:val="left" w:pos="720"/>
      </w:tabs>
      <w:spacing w:after="0" w:line="240" w:lineRule="auto"/>
      <w:outlineLvl w:val="2"/>
    </w:pPr>
    <w:rPr>
      <w:rFonts w:ascii="Times New Roman" w:eastAsia="Times New Roman" w:hAnsi="Times New Roman" w:cs="Times New Roman"/>
      <w:b/>
      <w:sz w:val="24"/>
      <w:szCs w:val="24"/>
    </w:rPr>
  </w:style>
  <w:style w:type="paragraph" w:styleId="Heading4">
    <w:name w:val="heading 4"/>
    <w:aliases w:val="EA Heading 4"/>
    <w:basedOn w:val="Normal"/>
    <w:next w:val="Normal"/>
    <w:link w:val="Heading4Char"/>
    <w:uiPriority w:val="9"/>
    <w:unhideWhenUsed/>
    <w:qFormat/>
    <w:rsid w:val="007B44F8"/>
    <w:pPr>
      <w:keepNext/>
      <w:keepLines/>
      <w:numPr>
        <w:ilvl w:val="3"/>
        <w:numId w:val="1"/>
      </w:numPr>
      <w:tabs>
        <w:tab w:val="left" w:pos="900"/>
      </w:tabs>
      <w:spacing w:after="240" w:line="240" w:lineRule="auto"/>
      <w:ind w:left="864"/>
      <w:outlineLvl w:val="3"/>
    </w:pPr>
    <w:rPr>
      <w:rFonts w:ascii="Times New Roman" w:eastAsia="Times New Roman" w:hAnsi="Times New Roman" w:cs="Times New Roman"/>
      <w:b/>
      <w:bCs/>
      <w:sz w:val="24"/>
      <w:szCs w:val="28"/>
    </w:rPr>
  </w:style>
  <w:style w:type="paragraph" w:styleId="Heading5">
    <w:name w:val="heading 5"/>
    <w:basedOn w:val="Normal"/>
    <w:next w:val="Normal"/>
    <w:link w:val="Heading5Char"/>
    <w:uiPriority w:val="9"/>
    <w:semiHidden/>
    <w:unhideWhenUsed/>
    <w:qFormat/>
    <w:rsid w:val="007B44F8"/>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7B44F8"/>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7B44F8"/>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7B44F8"/>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7B44F8"/>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A Heading 1 Char"/>
    <w:basedOn w:val="DefaultParagraphFont"/>
    <w:link w:val="Heading1"/>
    <w:uiPriority w:val="9"/>
    <w:rsid w:val="007B44F8"/>
    <w:rPr>
      <w:rFonts w:ascii="Times New Roman Bold" w:eastAsia="Times New Roman" w:hAnsi="Times New Roman Bold" w:cs="Times New Roman"/>
      <w:b/>
      <w:sz w:val="24"/>
      <w:szCs w:val="28"/>
    </w:rPr>
  </w:style>
  <w:style w:type="character" w:customStyle="1" w:styleId="Heading2Char">
    <w:name w:val="Heading 2 Char"/>
    <w:aliases w:val="EA Heading 2 Char"/>
    <w:basedOn w:val="DefaultParagraphFont"/>
    <w:link w:val="Heading2"/>
    <w:uiPriority w:val="9"/>
    <w:rsid w:val="007B44F8"/>
    <w:rPr>
      <w:rFonts w:ascii="Times New Roman Bold" w:eastAsia="Times New Roman" w:hAnsi="Times New Roman Bold" w:cs="Times New Roman"/>
      <w:b/>
      <w:caps/>
      <w:sz w:val="24"/>
      <w:szCs w:val="26"/>
    </w:rPr>
  </w:style>
  <w:style w:type="character" w:customStyle="1" w:styleId="Heading3Char">
    <w:name w:val="Heading 3 Char"/>
    <w:aliases w:val="EA Heading 3 Char"/>
    <w:basedOn w:val="DefaultParagraphFont"/>
    <w:link w:val="Heading3"/>
    <w:uiPriority w:val="9"/>
    <w:rsid w:val="007B44F8"/>
    <w:rPr>
      <w:rFonts w:ascii="Times New Roman" w:eastAsia="Times New Roman" w:hAnsi="Times New Roman" w:cs="Times New Roman"/>
      <w:b/>
      <w:sz w:val="24"/>
      <w:szCs w:val="24"/>
    </w:rPr>
  </w:style>
  <w:style w:type="character" w:customStyle="1" w:styleId="Heading4Char">
    <w:name w:val="Heading 4 Char"/>
    <w:aliases w:val="EA Heading 4 Char"/>
    <w:basedOn w:val="DefaultParagraphFont"/>
    <w:link w:val="Heading4"/>
    <w:uiPriority w:val="9"/>
    <w:rsid w:val="007B44F8"/>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uiPriority w:val="9"/>
    <w:semiHidden/>
    <w:rsid w:val="007B44F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B44F8"/>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B44F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B44F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B44F8"/>
    <w:rPr>
      <w:rFonts w:ascii="Cambria" w:eastAsia="Times New Roman" w:hAnsi="Cambria" w:cs="Times New Roman"/>
    </w:rPr>
  </w:style>
  <w:style w:type="paragraph" w:customStyle="1" w:styleId="EAText">
    <w:name w:val="EA Text"/>
    <w:basedOn w:val="Normal"/>
    <w:qFormat/>
    <w:rsid w:val="007B44F8"/>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7B44F8"/>
    <w:pPr>
      <w:spacing w:after="200" w:line="276" w:lineRule="auto"/>
      <w:ind w:left="720"/>
    </w:pPr>
    <w:rPr>
      <w:rFonts w:ascii="Calibri" w:eastAsia="Times New Roman" w:hAnsi="Calibri" w:cs="Times New Roman"/>
    </w:rPr>
  </w:style>
  <w:style w:type="paragraph" w:styleId="Header">
    <w:name w:val="header"/>
    <w:basedOn w:val="Normal"/>
    <w:link w:val="HeaderChar"/>
    <w:uiPriority w:val="99"/>
    <w:unhideWhenUsed/>
    <w:rsid w:val="006D5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869"/>
  </w:style>
  <w:style w:type="paragraph" w:styleId="Footer">
    <w:name w:val="footer"/>
    <w:basedOn w:val="Normal"/>
    <w:link w:val="FooterChar"/>
    <w:uiPriority w:val="99"/>
    <w:unhideWhenUsed/>
    <w:rsid w:val="006D5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869"/>
  </w:style>
  <w:style w:type="table" w:styleId="TableGrid">
    <w:name w:val="Table Grid"/>
    <w:basedOn w:val="TableNormal"/>
    <w:uiPriority w:val="39"/>
    <w:rsid w:val="00E5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5</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SAVIENGVONG, CHAMPANINE GS-11 USAF AFRC 439 CE/CEV</dc:creator>
  <cp:keywords/>
  <dc:description/>
  <cp:lastModifiedBy>SAVIENGVONG, CHAMPANINE GS-11 USAF AFRC 439 CE/CEV</cp:lastModifiedBy>
  <cp:revision>21</cp:revision>
  <dcterms:created xsi:type="dcterms:W3CDTF">2021-08-24T21:38:00Z</dcterms:created>
  <dcterms:modified xsi:type="dcterms:W3CDTF">2021-09-09T17:00:00Z</dcterms:modified>
</cp:coreProperties>
</file>